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B8" w:rsidRDefault="00C5422D" w:rsidP="00AB1436">
      <w:pPr>
        <w:rPr>
          <w:bCs/>
        </w:rPr>
      </w:pPr>
      <w:r w:rsidRPr="00BE4BF0">
        <w:rPr>
          <w:bCs/>
          <w:highlight w:val="yellow"/>
        </w:rPr>
        <w:t>June</w:t>
      </w:r>
      <w:r w:rsidR="00AB1436" w:rsidRPr="00BE4BF0">
        <w:rPr>
          <w:bCs/>
          <w:highlight w:val="yellow"/>
        </w:rPr>
        <w:t xml:space="preserve"> </w:t>
      </w:r>
      <w:r w:rsidR="00EA1FB8" w:rsidRPr="00BE4BF0">
        <w:rPr>
          <w:bCs/>
          <w:highlight w:val="yellow"/>
        </w:rPr>
        <w:t>2</w:t>
      </w:r>
      <w:r w:rsidR="00BE4BF0" w:rsidRPr="00BE4BF0">
        <w:rPr>
          <w:bCs/>
          <w:highlight w:val="yellow"/>
        </w:rPr>
        <w:t>0</w:t>
      </w:r>
      <w:r w:rsidR="00990C74" w:rsidRPr="00BE4BF0">
        <w:rPr>
          <w:bCs/>
          <w:highlight w:val="yellow"/>
        </w:rPr>
        <w:t>, 201</w:t>
      </w:r>
      <w:r w:rsidR="00BE4BF0" w:rsidRPr="00BE4BF0">
        <w:rPr>
          <w:bCs/>
          <w:highlight w:val="yellow"/>
        </w:rPr>
        <w:t>6 [draft]</w:t>
      </w:r>
      <w:r w:rsidR="00AB1436" w:rsidRPr="003D4B4D">
        <w:rPr>
          <w:bCs/>
        </w:rPr>
        <w:br/>
      </w:r>
    </w:p>
    <w:p w:rsidR="00AB1436" w:rsidRPr="00EA1FB8" w:rsidRDefault="00EA1FB8" w:rsidP="00AB1436">
      <w:pPr>
        <w:rPr>
          <w:b/>
        </w:rPr>
      </w:pPr>
      <w:r w:rsidRPr="00BE4BF0">
        <w:rPr>
          <w:b/>
          <w:bCs/>
          <w:highlight w:val="yellow"/>
        </w:rPr>
        <w:t>SUBMITTED VIA REGULATIONS.GOV</w:t>
      </w:r>
      <w:r w:rsidR="00AB1436" w:rsidRPr="00EA1FB8">
        <w:rPr>
          <w:b/>
          <w:bCs/>
        </w:rPr>
        <w:br/>
      </w:r>
    </w:p>
    <w:p w:rsidR="00990C74" w:rsidRPr="000C289C" w:rsidRDefault="00990C74" w:rsidP="00990C74">
      <w:r w:rsidRPr="000C289C">
        <w:t>Andy Slavitt</w:t>
      </w:r>
    </w:p>
    <w:p w:rsidR="00990C74" w:rsidRPr="000C289C" w:rsidRDefault="00990C74" w:rsidP="00990C74">
      <w:r w:rsidRPr="000C289C">
        <w:t>Acting Administrator</w:t>
      </w:r>
    </w:p>
    <w:p w:rsidR="00AB1436" w:rsidRPr="000225A3" w:rsidRDefault="00AB1436" w:rsidP="00AB1436">
      <w:r>
        <w:t>Centers for Medicare and</w:t>
      </w:r>
      <w:r w:rsidRPr="000225A3">
        <w:t xml:space="preserve"> Medicaid</w:t>
      </w:r>
      <w:r>
        <w:t xml:space="preserve"> Services</w:t>
      </w:r>
    </w:p>
    <w:p w:rsidR="00AB1436" w:rsidRPr="000225A3" w:rsidRDefault="00AB1436" w:rsidP="00AB1436">
      <w:r>
        <w:t>Department of Health and</w:t>
      </w:r>
      <w:r w:rsidRPr="000225A3">
        <w:t xml:space="preserve"> Human Services</w:t>
      </w:r>
    </w:p>
    <w:p w:rsidR="00AB1436" w:rsidRPr="000225A3" w:rsidRDefault="00AB1436" w:rsidP="00AB1436">
      <w:r w:rsidRPr="000225A3">
        <w:t>7500 Security Boulevard</w:t>
      </w:r>
    </w:p>
    <w:p w:rsidR="00AB1436" w:rsidRDefault="00AB1436" w:rsidP="00AB1436">
      <w:r w:rsidRPr="000225A3">
        <w:t>Baltimore, MD 21244-1850</w:t>
      </w:r>
    </w:p>
    <w:p w:rsidR="00C62097" w:rsidRDefault="00C62097" w:rsidP="00C62097"/>
    <w:p w:rsidR="00AB1436" w:rsidRPr="003D4B4D" w:rsidRDefault="00AB1436" w:rsidP="00AB1436">
      <w:pPr>
        <w:rPr>
          <w:b/>
        </w:rPr>
      </w:pPr>
    </w:p>
    <w:p w:rsidR="00990C74" w:rsidRPr="00990C74" w:rsidRDefault="00AB1436" w:rsidP="00990C74">
      <w:pPr>
        <w:tabs>
          <w:tab w:val="left" w:pos="1080"/>
        </w:tabs>
        <w:ind w:left="1080" w:hanging="1080"/>
        <w:rPr>
          <w:b/>
        </w:rPr>
      </w:pPr>
      <w:r w:rsidRPr="003D4B4D">
        <w:rPr>
          <w:b/>
        </w:rPr>
        <w:t xml:space="preserve">RE:  </w:t>
      </w:r>
      <w:r>
        <w:rPr>
          <w:b/>
        </w:rPr>
        <w:tab/>
      </w:r>
      <w:r w:rsidR="00990C74">
        <w:rPr>
          <w:b/>
        </w:rPr>
        <w:t>(CMS-16</w:t>
      </w:r>
      <w:r w:rsidR="00BE4BF0">
        <w:rPr>
          <w:b/>
        </w:rPr>
        <w:t>47</w:t>
      </w:r>
      <w:r w:rsidRPr="003D4B4D">
        <w:rPr>
          <w:b/>
        </w:rPr>
        <w:t xml:space="preserve">-P) </w:t>
      </w:r>
      <w:r w:rsidR="00990C74">
        <w:rPr>
          <w:b/>
        </w:rPr>
        <w:t xml:space="preserve">Medicare Program; Inpatient </w:t>
      </w:r>
      <w:r w:rsidR="00990C74" w:rsidRPr="00990C74">
        <w:rPr>
          <w:b/>
        </w:rPr>
        <w:t>Rehabilitation Facility Prospective</w:t>
      </w:r>
    </w:p>
    <w:p w:rsidR="00AB1436" w:rsidRPr="003D4B4D" w:rsidRDefault="00990C74" w:rsidP="00990C74">
      <w:pPr>
        <w:tabs>
          <w:tab w:val="left" w:pos="1080"/>
        </w:tabs>
        <w:rPr>
          <w:b/>
        </w:rPr>
      </w:pPr>
      <w:r>
        <w:rPr>
          <w:b/>
        </w:rPr>
        <w:tab/>
      </w:r>
      <w:r w:rsidRPr="00990C74">
        <w:rPr>
          <w:b/>
        </w:rPr>
        <w:t>Pa</w:t>
      </w:r>
      <w:r>
        <w:rPr>
          <w:b/>
        </w:rPr>
        <w:t xml:space="preserve">yment System for Federal Fiscal </w:t>
      </w:r>
      <w:r w:rsidRPr="00990C74">
        <w:rPr>
          <w:b/>
        </w:rPr>
        <w:t>Year 201</w:t>
      </w:r>
      <w:r w:rsidR="00BE4BF0">
        <w:rPr>
          <w:b/>
        </w:rPr>
        <w:t>7</w:t>
      </w:r>
    </w:p>
    <w:p w:rsidR="00C62097" w:rsidRPr="003D4B4D" w:rsidRDefault="00C62097" w:rsidP="00C62097">
      <w:pPr>
        <w:tabs>
          <w:tab w:val="left" w:pos="1080"/>
        </w:tabs>
        <w:ind w:left="1080" w:hanging="1080"/>
      </w:pPr>
      <w:r w:rsidRPr="003D4B4D">
        <w:t xml:space="preserve"> </w:t>
      </w:r>
    </w:p>
    <w:p w:rsidR="00AB1436" w:rsidRPr="00BE4BF0" w:rsidRDefault="00AB1436" w:rsidP="00AB1436">
      <w:pPr>
        <w:widowControl w:val="0"/>
        <w:autoSpaceDE w:val="0"/>
        <w:autoSpaceDN w:val="0"/>
        <w:adjustRightInd w:val="0"/>
      </w:pPr>
      <w:r w:rsidRPr="00BE4BF0">
        <w:t xml:space="preserve">Dear </w:t>
      </w:r>
      <w:r w:rsidR="00990C74" w:rsidRPr="00BE4BF0">
        <w:t xml:space="preserve">Acting </w:t>
      </w:r>
      <w:r w:rsidRPr="00BE4BF0">
        <w:t xml:space="preserve">Administrator </w:t>
      </w:r>
      <w:r w:rsidR="00990C74" w:rsidRPr="00BE4BF0">
        <w:t>Slavitt</w:t>
      </w:r>
      <w:r w:rsidRPr="00BE4BF0">
        <w:t>:</w:t>
      </w:r>
    </w:p>
    <w:p w:rsidR="00AB1436" w:rsidRPr="00BE4BF0" w:rsidRDefault="00AB1436" w:rsidP="00AB1436"/>
    <w:p w:rsidR="00AB1436" w:rsidRPr="00BE4BF0" w:rsidRDefault="00AB1436" w:rsidP="00990C74">
      <w:pPr>
        <w:autoSpaceDE w:val="0"/>
        <w:autoSpaceDN w:val="0"/>
        <w:adjustRightInd w:val="0"/>
      </w:pPr>
      <w:r w:rsidRPr="00BE4BF0">
        <w:t>The undersigned members of the Coalit</w:t>
      </w:r>
      <w:r w:rsidR="00902AB9" w:rsidRPr="00BE4BF0">
        <w:t xml:space="preserve">ion to Preserve Rehabilitation </w:t>
      </w:r>
      <w:r w:rsidRPr="00BE4BF0">
        <w:t xml:space="preserve">(CPR) appreciate the opportunity to comment on the proposed </w:t>
      </w:r>
      <w:hyperlink r:id="rId8" w:history="1">
        <w:r w:rsidR="00902AB9" w:rsidRPr="00BE4BF0">
          <w:rPr>
            <w:rStyle w:val="Hyperlink"/>
          </w:rPr>
          <w:t>ru</w:t>
        </w:r>
        <w:r w:rsidR="00902AB9" w:rsidRPr="00BE4BF0">
          <w:rPr>
            <w:rStyle w:val="Hyperlink"/>
          </w:rPr>
          <w:t>l</w:t>
        </w:r>
        <w:r w:rsidR="00902AB9" w:rsidRPr="00BE4BF0">
          <w:rPr>
            <w:rStyle w:val="Hyperlink"/>
          </w:rPr>
          <w:t>e</w:t>
        </w:r>
      </w:hyperlink>
      <w:r w:rsidRPr="00BE4BF0">
        <w:t xml:space="preserve"> </w:t>
      </w:r>
      <w:r w:rsidR="00171483" w:rsidRPr="00BE4BF0">
        <w:t xml:space="preserve">entitled, </w:t>
      </w:r>
      <w:r w:rsidR="00990C74" w:rsidRPr="00BE4BF0">
        <w:rPr>
          <w:i/>
        </w:rPr>
        <w:t>Medicare Program; Inpatient Rehabilitation Facility Prospective Payment System for Federal Fiscal</w:t>
      </w:r>
      <w:r w:rsidR="00661223" w:rsidRPr="00BE4BF0">
        <w:rPr>
          <w:i/>
        </w:rPr>
        <w:t xml:space="preserve"> </w:t>
      </w:r>
      <w:r w:rsidR="00990C74" w:rsidRPr="00BE4BF0">
        <w:rPr>
          <w:i/>
        </w:rPr>
        <w:t>Year 201</w:t>
      </w:r>
      <w:r w:rsidR="00BE4BF0" w:rsidRPr="00BE4BF0">
        <w:rPr>
          <w:i/>
        </w:rPr>
        <w:t>7</w:t>
      </w:r>
      <w:r w:rsidRPr="00BE4BF0">
        <w:t xml:space="preserve">. </w:t>
      </w:r>
      <w:r w:rsidR="00990C74" w:rsidRPr="00BE4BF0">
        <w:t xml:space="preserve"> </w:t>
      </w:r>
      <w:r w:rsidRPr="00BE4BF0">
        <w:t xml:space="preserve">CPR is a coalition of national consumer, clinician, and membership organizations that advocate for policies to ensure access to rehabilitative care so that individuals with injuries, illnesses, disabilities and chronic conditions may regain and/or maintain their maximum level of health and independent function.  </w:t>
      </w:r>
    </w:p>
    <w:p w:rsidR="00902AB9" w:rsidRPr="00BE4BF0" w:rsidRDefault="00902AB9" w:rsidP="00990C74">
      <w:pPr>
        <w:autoSpaceDE w:val="0"/>
        <w:autoSpaceDN w:val="0"/>
        <w:adjustRightInd w:val="0"/>
        <w:rPr>
          <w:i/>
          <w:highlight w:val="yellow"/>
        </w:rPr>
      </w:pPr>
    </w:p>
    <w:p w:rsidR="007B6977" w:rsidRPr="00ED2721" w:rsidRDefault="00F92446" w:rsidP="00902AB9">
      <w:pPr>
        <w:ind w:right="18"/>
        <w:jc w:val="both"/>
        <w:rPr>
          <w:b/>
          <w:u w:val="single"/>
        </w:rPr>
      </w:pPr>
      <w:r w:rsidRPr="00ED2721">
        <w:rPr>
          <w:b/>
          <w:u w:val="single"/>
        </w:rPr>
        <w:t xml:space="preserve">Overview </w:t>
      </w:r>
    </w:p>
    <w:p w:rsidR="00171483" w:rsidRPr="00ED2721" w:rsidRDefault="00401772" w:rsidP="00401772">
      <w:pPr>
        <w:ind w:right="18"/>
      </w:pPr>
      <w:r>
        <w:t xml:space="preserve">The proposed rule adopts a </w:t>
      </w:r>
      <w:r w:rsidRPr="00ED2721">
        <w:t>m</w:t>
      </w:r>
      <w:r>
        <w:t>arket basket update specific to Inpatient Rehabilitation Hospitals and Units (</w:t>
      </w:r>
      <w:r w:rsidR="003E39B8" w:rsidRPr="00ED2721">
        <w:t>IRF</w:t>
      </w:r>
      <w:r>
        <w:t>s), and updates</w:t>
      </w:r>
      <w:r w:rsidR="003E39B8" w:rsidRPr="00ED2721">
        <w:t xml:space="preserve"> quality measures and report</w:t>
      </w:r>
      <w:r>
        <w:t>ing requirements under the IRF Quality Reporting P</w:t>
      </w:r>
      <w:r w:rsidR="003E39B8" w:rsidRPr="00ED2721">
        <w:t xml:space="preserve">rogram (QRP), among other things.  </w:t>
      </w:r>
      <w:r w:rsidR="00902AB9" w:rsidRPr="00ED2721">
        <w:t xml:space="preserve">Due in part to </w:t>
      </w:r>
      <w:r>
        <w:t xml:space="preserve">enactment of </w:t>
      </w:r>
      <w:r w:rsidR="00902AB9" w:rsidRPr="00ED2721">
        <w:t xml:space="preserve">the </w:t>
      </w:r>
      <w:r w:rsidR="00463089" w:rsidRPr="00ED2721">
        <w:t>Improving Medicare Post-Acute Care Transformation (“IMPACT”) Ac</w:t>
      </w:r>
      <w:r>
        <w:t xml:space="preserve">t of 2014, the proposed </w:t>
      </w:r>
      <w:r w:rsidR="00902AB9" w:rsidRPr="00ED2721">
        <w:t xml:space="preserve">rule focuses heavily on implementation </w:t>
      </w:r>
      <w:r>
        <w:t>of quality reporting measures</w:t>
      </w:r>
      <w:r w:rsidR="00902AB9" w:rsidRPr="00ED2721">
        <w:t xml:space="preserve">.  </w:t>
      </w:r>
    </w:p>
    <w:p w:rsidR="00171483" w:rsidRPr="00ED2721" w:rsidRDefault="00171483" w:rsidP="00401772">
      <w:pPr>
        <w:ind w:right="18"/>
      </w:pPr>
    </w:p>
    <w:p w:rsidR="00592894" w:rsidRDefault="00902AB9" w:rsidP="00401772">
      <w:pPr>
        <w:ind w:right="18"/>
      </w:pPr>
      <w:r w:rsidRPr="00ED2721">
        <w:t>Notably, the rule does not include any pilots, demonstration projects, or more significant implementation of bundling of post-acute care, s</w:t>
      </w:r>
      <w:r w:rsidR="00401772">
        <w:t>o-called “s</w:t>
      </w:r>
      <w:r w:rsidRPr="00ED2721">
        <w:t>ite-neutral</w:t>
      </w:r>
      <w:r w:rsidR="00401772">
        <w:t>”</w:t>
      </w:r>
      <w:r w:rsidRPr="00ED2721">
        <w:t xml:space="preserve"> payment</w:t>
      </w:r>
      <w:r w:rsidR="00401772">
        <w:t xml:space="preserve"> policies</w:t>
      </w:r>
      <w:r w:rsidRPr="00ED2721">
        <w:t xml:space="preserve"> between IRFs and other settings of care, or other post-acute care proposals contained in the President’s most recent budget, </w:t>
      </w:r>
      <w:r w:rsidR="00401772">
        <w:t xml:space="preserve">or in </w:t>
      </w:r>
      <w:r w:rsidRPr="00ED2721">
        <w:t>recent MedPAC recommendations</w:t>
      </w:r>
      <w:r w:rsidR="00401772">
        <w:t>.</w:t>
      </w:r>
      <w:r w:rsidR="00171483" w:rsidRPr="00ED2721">
        <w:t xml:space="preserve">  </w:t>
      </w:r>
      <w:r w:rsidR="007B6977" w:rsidRPr="00ED2721">
        <w:t xml:space="preserve">CPR </w:t>
      </w:r>
      <w:r w:rsidR="00171483" w:rsidRPr="00ED2721">
        <w:t>is grateful to CMS for choosing not to include these types of provisions in this rule, considering the serious reservations CPR members hav</w:t>
      </w:r>
      <w:r w:rsidR="00401772">
        <w:t>e with many of these proposals and the challenges they create for Medicare beneficiaries in need of an intensive, coordinated inpatient hospital level of medical rehabilitation.</w:t>
      </w:r>
    </w:p>
    <w:p w:rsidR="00592894" w:rsidRDefault="00592894" w:rsidP="00401772">
      <w:pPr>
        <w:ind w:right="18"/>
      </w:pPr>
    </w:p>
    <w:p w:rsidR="00171483" w:rsidRPr="00ED2721" w:rsidRDefault="00401772" w:rsidP="00401772">
      <w:pPr>
        <w:ind w:right="18"/>
      </w:pPr>
      <w:r>
        <w:t>There is one omission in the proposed rule, h</w:t>
      </w:r>
      <w:r w:rsidR="00ED2721" w:rsidRPr="00ED2721">
        <w:t xml:space="preserve">owever, </w:t>
      </w:r>
      <w:r>
        <w:t xml:space="preserve">about which </w:t>
      </w:r>
      <w:r w:rsidR="00ED2721" w:rsidRPr="00ED2721">
        <w:t xml:space="preserve">CPR </w:t>
      </w:r>
      <w:r>
        <w:t xml:space="preserve">has major concerns.  That omission involves the lack of any discussion or proposed solution to the unintended consequences of </w:t>
      </w:r>
      <w:r>
        <w:lastRenderedPageBreak/>
        <w:t xml:space="preserve">transitioning to the ICD-10 code set and the impact this transition is having on access to IRF care for select patients, particularly Medicare beneficiaries with brain injuries and other orthopedic impairments.  </w:t>
      </w:r>
      <w:r w:rsidR="0082434B">
        <w:t>Because of the importance of this issue in terms of access to IRF care, we begin our comment letter with this issue,</w:t>
      </w:r>
      <w:r>
        <w:t xml:space="preserve"> despite the fact that</w:t>
      </w:r>
      <w:r w:rsidR="0082434B">
        <w:t xml:space="preserve"> we were surprised to learn that</w:t>
      </w:r>
      <w:r>
        <w:t xml:space="preserve"> the proposed rule did not</w:t>
      </w:r>
      <w:r w:rsidR="0082434B">
        <w:t xml:space="preserve"> even address it, a</w:t>
      </w:r>
      <w:r>
        <w:t xml:space="preserve">nd </w:t>
      </w:r>
      <w:r w:rsidR="0082434B">
        <w:t xml:space="preserve">we </w:t>
      </w:r>
      <w:r>
        <w:t>strongly urge CMS to offer a solution to this barrier to access to IRF care in the final rule.</w:t>
      </w:r>
      <w:r w:rsidR="00ED2721" w:rsidRPr="00ED2721">
        <w:t xml:space="preserve"> </w:t>
      </w:r>
    </w:p>
    <w:p w:rsidR="00171483" w:rsidRPr="00ED2721" w:rsidRDefault="00171483" w:rsidP="00171483">
      <w:pPr>
        <w:ind w:right="18"/>
        <w:jc w:val="both"/>
      </w:pPr>
    </w:p>
    <w:p w:rsidR="0082434B" w:rsidRPr="00D017B6" w:rsidRDefault="0082434B" w:rsidP="0082434B">
      <w:pPr>
        <w:rPr>
          <w:b/>
          <w:u w:val="single"/>
        </w:rPr>
      </w:pPr>
      <w:r w:rsidRPr="00ED2721">
        <w:rPr>
          <w:b/>
          <w:u w:val="single"/>
        </w:rPr>
        <w:t xml:space="preserve">Unintended Consequences of ICD-10 Conversion on Access to </w:t>
      </w:r>
      <w:r>
        <w:rPr>
          <w:b/>
          <w:u w:val="single"/>
        </w:rPr>
        <w:t xml:space="preserve">IRFs </w:t>
      </w:r>
      <w:r w:rsidRPr="00ED2721">
        <w:rPr>
          <w:b/>
          <w:u w:val="single"/>
        </w:rPr>
        <w:t>for Medicare Be</w:t>
      </w:r>
      <w:r>
        <w:rPr>
          <w:b/>
          <w:u w:val="single"/>
        </w:rPr>
        <w:t>neficiaries with Brain Injuries and Select Orthopedic Conditions</w:t>
      </w:r>
    </w:p>
    <w:p w:rsidR="0082434B" w:rsidRDefault="0082434B" w:rsidP="0082434B">
      <w:pPr>
        <w:autoSpaceDE w:val="0"/>
        <w:autoSpaceDN w:val="0"/>
        <w:adjustRightInd w:val="0"/>
      </w:pPr>
    </w:p>
    <w:p w:rsidR="0082434B" w:rsidRPr="00B65FC2" w:rsidRDefault="0082434B" w:rsidP="0082434B">
      <w:pPr>
        <w:autoSpaceDE w:val="0"/>
        <w:autoSpaceDN w:val="0"/>
        <w:adjustRightInd w:val="0"/>
      </w:pPr>
      <w:r w:rsidRPr="00B65FC2">
        <w:t xml:space="preserve">On October 1, 2015 all providers were required to start </w:t>
      </w:r>
      <w:r>
        <w:t xml:space="preserve">using the ICD-10-CM code set in their documentation of health care services.  In previous rulemaking, CMS translated the ICD-9 codes that would qualify under the ICD-10 code set for purposes of meeting “presumptive compliance” with the 60% Rule, the IRF requirement that at least 60% of IRF patients must have one of 13 specified diagnoses in order for a hospital to quality as an IRF.  </w:t>
      </w:r>
      <w:r w:rsidRPr="00B65FC2">
        <w:t>The new ICD-10-CM codes were e</w:t>
      </w:r>
      <w:r>
        <w:t xml:space="preserve">ffective on </w:t>
      </w:r>
      <w:r w:rsidRPr="00B65FC2">
        <w:t xml:space="preserve">or after October 1, 2015. </w:t>
      </w:r>
    </w:p>
    <w:p w:rsidR="0082434B" w:rsidRPr="00B65FC2" w:rsidRDefault="0082434B" w:rsidP="0082434B">
      <w:pPr>
        <w:autoSpaceDE w:val="0"/>
        <w:autoSpaceDN w:val="0"/>
        <w:adjustRightInd w:val="0"/>
      </w:pPr>
    </w:p>
    <w:p w:rsidR="0082434B" w:rsidRDefault="0082434B" w:rsidP="0082434B">
      <w:pPr>
        <w:pStyle w:val="NoSpacing"/>
        <w:rPr>
          <w:rFonts w:ascii="Times New Roman" w:hAnsi="Times New Roman"/>
          <w:sz w:val="24"/>
          <w:szCs w:val="24"/>
        </w:rPr>
      </w:pPr>
      <w:r>
        <w:rPr>
          <w:rFonts w:ascii="Times New Roman" w:hAnsi="Times New Roman"/>
          <w:sz w:val="24"/>
          <w:szCs w:val="24"/>
        </w:rPr>
        <w:t>Soon after the new codes became effective</w:t>
      </w:r>
      <w:r w:rsidRPr="00B65FC2">
        <w:rPr>
          <w:rFonts w:ascii="Times New Roman" w:hAnsi="Times New Roman"/>
          <w:sz w:val="24"/>
          <w:szCs w:val="24"/>
        </w:rPr>
        <w:t xml:space="preserve">, </w:t>
      </w:r>
      <w:r>
        <w:rPr>
          <w:rFonts w:ascii="Times New Roman" w:hAnsi="Times New Roman"/>
          <w:sz w:val="24"/>
          <w:szCs w:val="24"/>
        </w:rPr>
        <w:t>CPR started hearing from member organizations</w:t>
      </w:r>
      <w:r w:rsidRPr="00B65FC2">
        <w:rPr>
          <w:rFonts w:ascii="Times New Roman" w:hAnsi="Times New Roman"/>
          <w:sz w:val="24"/>
          <w:szCs w:val="24"/>
        </w:rPr>
        <w:t xml:space="preserve"> that conditions previously included in calculating a provider’s presumptive compliance were being rejected for that purpose. </w:t>
      </w:r>
      <w:r>
        <w:rPr>
          <w:rFonts w:ascii="Times New Roman" w:hAnsi="Times New Roman"/>
          <w:sz w:val="24"/>
          <w:szCs w:val="24"/>
        </w:rPr>
        <w:t xml:space="preserve"> In other words, there are a </w:t>
      </w:r>
      <w:r w:rsidRPr="00B65FC2">
        <w:rPr>
          <w:rFonts w:ascii="Times New Roman" w:hAnsi="Times New Roman"/>
          <w:sz w:val="24"/>
          <w:szCs w:val="24"/>
        </w:rPr>
        <w:t>number of ICD-10-CM codes that</w:t>
      </w:r>
      <w:r>
        <w:rPr>
          <w:rFonts w:ascii="Times New Roman" w:hAnsi="Times New Roman"/>
          <w:sz w:val="24"/>
          <w:szCs w:val="24"/>
        </w:rPr>
        <w:t xml:space="preserve"> are no longer accepted under presumptive compliance that had been routinely accepted under the ICD-9 code set.  This has the effect of creating a major disincentive for IRFs who are close to the 60% margin to admit certain patients, those whose conditions are described by codes that are no longer being accepted by CMS for presumptive compliance with the 60% Rule.  </w:t>
      </w:r>
    </w:p>
    <w:p w:rsidR="0082434B" w:rsidRDefault="0082434B" w:rsidP="0082434B">
      <w:pPr>
        <w:pStyle w:val="NoSpacing"/>
        <w:rPr>
          <w:rFonts w:ascii="Times New Roman" w:hAnsi="Times New Roman"/>
          <w:sz w:val="24"/>
          <w:szCs w:val="24"/>
        </w:rPr>
      </w:pPr>
    </w:p>
    <w:p w:rsidR="0082434B" w:rsidRPr="00B65FC2" w:rsidRDefault="0082434B" w:rsidP="0082434B">
      <w:pPr>
        <w:pStyle w:val="NoSpacing"/>
        <w:rPr>
          <w:rFonts w:ascii="Times New Roman" w:hAnsi="Times New Roman"/>
          <w:sz w:val="24"/>
          <w:szCs w:val="24"/>
        </w:rPr>
      </w:pPr>
      <w:r>
        <w:rPr>
          <w:rFonts w:ascii="Times New Roman" w:hAnsi="Times New Roman"/>
          <w:sz w:val="24"/>
          <w:szCs w:val="24"/>
        </w:rPr>
        <w:t>Based on data generated by</w:t>
      </w:r>
      <w:r w:rsidRPr="0082434B">
        <w:rPr>
          <w:rFonts w:ascii="Times New Roman" w:hAnsi="Times New Roman"/>
          <w:sz w:val="24"/>
          <w:szCs w:val="24"/>
        </w:rPr>
        <w:t xml:space="preserve"> eRehabData®, </w:t>
      </w:r>
      <w:r>
        <w:rPr>
          <w:rFonts w:ascii="Times New Roman" w:hAnsi="Times New Roman"/>
          <w:sz w:val="24"/>
          <w:szCs w:val="24"/>
        </w:rPr>
        <w:t>a firm contracted by a CPR member (the American Medical Rehabilitation Providers Association) to analyze IRF data, t</w:t>
      </w:r>
      <w:r w:rsidRPr="00B65FC2">
        <w:rPr>
          <w:rFonts w:ascii="Times New Roman" w:hAnsi="Times New Roman"/>
          <w:sz w:val="24"/>
          <w:szCs w:val="24"/>
        </w:rPr>
        <w:t xml:space="preserve">his issue affects three </w:t>
      </w:r>
      <w:r>
        <w:rPr>
          <w:rFonts w:ascii="Times New Roman" w:hAnsi="Times New Roman"/>
          <w:sz w:val="24"/>
          <w:szCs w:val="24"/>
        </w:rPr>
        <w:t>different types of beneficiaries at this time, individuals with:</w:t>
      </w:r>
    </w:p>
    <w:p w:rsidR="0082434B" w:rsidRPr="00B65FC2" w:rsidRDefault="0082434B" w:rsidP="0082434B">
      <w:pPr>
        <w:pStyle w:val="NoSpacing"/>
        <w:rPr>
          <w:rFonts w:ascii="Times New Roman" w:hAnsi="Times New Roman"/>
          <w:sz w:val="24"/>
          <w:szCs w:val="24"/>
        </w:rPr>
      </w:pPr>
    </w:p>
    <w:p w:rsidR="0082434B" w:rsidRPr="00B65FC2" w:rsidRDefault="0082434B" w:rsidP="0082434B">
      <w:pPr>
        <w:pStyle w:val="NoSpacing"/>
        <w:numPr>
          <w:ilvl w:val="0"/>
          <w:numId w:val="39"/>
        </w:numPr>
        <w:rPr>
          <w:rFonts w:ascii="Times New Roman" w:hAnsi="Times New Roman"/>
          <w:sz w:val="24"/>
          <w:szCs w:val="24"/>
        </w:rPr>
      </w:pPr>
      <w:r>
        <w:rPr>
          <w:rFonts w:ascii="Times New Roman" w:hAnsi="Times New Roman"/>
          <w:sz w:val="24"/>
          <w:szCs w:val="24"/>
        </w:rPr>
        <w:t>Traumatic brain injuries</w:t>
      </w:r>
      <w:r w:rsidRPr="00B65FC2">
        <w:rPr>
          <w:rFonts w:ascii="Times New Roman" w:hAnsi="Times New Roman"/>
          <w:sz w:val="24"/>
          <w:szCs w:val="24"/>
        </w:rPr>
        <w:t xml:space="preserve">; </w:t>
      </w:r>
    </w:p>
    <w:p w:rsidR="0082434B" w:rsidRPr="00B65FC2" w:rsidRDefault="0082434B" w:rsidP="0082434B">
      <w:pPr>
        <w:pStyle w:val="NoSpacing"/>
        <w:numPr>
          <w:ilvl w:val="0"/>
          <w:numId w:val="39"/>
        </w:numPr>
        <w:rPr>
          <w:rFonts w:ascii="Times New Roman" w:hAnsi="Times New Roman"/>
          <w:sz w:val="24"/>
          <w:szCs w:val="24"/>
        </w:rPr>
      </w:pPr>
      <w:r w:rsidRPr="00B65FC2">
        <w:rPr>
          <w:rFonts w:ascii="Times New Roman" w:hAnsi="Times New Roman"/>
          <w:sz w:val="24"/>
          <w:szCs w:val="24"/>
        </w:rPr>
        <w:t>Fracture</w:t>
      </w:r>
      <w:r>
        <w:rPr>
          <w:rFonts w:ascii="Times New Roman" w:hAnsi="Times New Roman"/>
          <w:sz w:val="24"/>
          <w:szCs w:val="24"/>
        </w:rPr>
        <w:t xml:space="preserve">s of the hip; and, </w:t>
      </w:r>
    </w:p>
    <w:p w:rsidR="0082434B" w:rsidRPr="00B65FC2" w:rsidRDefault="0082434B" w:rsidP="0082434B">
      <w:pPr>
        <w:pStyle w:val="ListParagraph"/>
        <w:numPr>
          <w:ilvl w:val="0"/>
          <w:numId w:val="39"/>
        </w:numPr>
        <w:autoSpaceDE w:val="0"/>
        <w:autoSpaceDN w:val="0"/>
        <w:adjustRightInd w:val="0"/>
        <w:spacing w:after="160"/>
        <w:rPr>
          <w:rFonts w:ascii="Times New Roman" w:hAnsi="Times New Roman"/>
          <w:sz w:val="24"/>
          <w:szCs w:val="24"/>
        </w:rPr>
      </w:pPr>
      <w:r w:rsidRPr="00B65FC2">
        <w:rPr>
          <w:rFonts w:ascii="Times New Roman" w:hAnsi="Times New Roman"/>
          <w:sz w:val="24"/>
          <w:szCs w:val="24"/>
        </w:rPr>
        <w:t>Major multipl</w:t>
      </w:r>
      <w:r>
        <w:rPr>
          <w:rFonts w:ascii="Times New Roman" w:hAnsi="Times New Roman"/>
          <w:sz w:val="24"/>
          <w:szCs w:val="24"/>
        </w:rPr>
        <w:t>e fractures.</w:t>
      </w:r>
    </w:p>
    <w:p w:rsidR="0082434B" w:rsidRPr="00B65FC2" w:rsidRDefault="0082434B" w:rsidP="0082434B">
      <w:pPr>
        <w:autoSpaceDE w:val="0"/>
        <w:autoSpaceDN w:val="0"/>
        <w:adjustRightInd w:val="0"/>
      </w:pPr>
      <w:r>
        <w:t xml:space="preserve">An early analysis of Medicare data suggested that </w:t>
      </w:r>
      <w:r w:rsidRPr="00B65FC2">
        <w:t>approximately 18,700 brain injury cases in FY 2016 would not meet the presumptive test as a result of the transition from ICD-9-CM to ICD-10-CM co</w:t>
      </w:r>
      <w:r>
        <w:t xml:space="preserve">de sets. A later assessment </w:t>
      </w:r>
      <w:r w:rsidRPr="00B65FC2">
        <w:t xml:space="preserve">revealed that the following number of cases have not been included under the presumptive methodology since October 1, 2015: </w:t>
      </w:r>
    </w:p>
    <w:p w:rsidR="0082434B" w:rsidRPr="00B65FC2" w:rsidRDefault="0082434B" w:rsidP="0082434B">
      <w:pPr>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3831"/>
        <w:gridCol w:w="3610"/>
      </w:tblGrid>
      <w:tr w:rsidR="0082434B" w:rsidRPr="00B65FC2" w:rsidTr="00563364">
        <w:trPr>
          <w:trHeight w:val="1682"/>
        </w:trPr>
        <w:tc>
          <w:tcPr>
            <w:tcW w:w="1335" w:type="pct"/>
            <w:shd w:val="clear" w:color="auto" w:fill="auto"/>
            <w:hideMark/>
          </w:tcPr>
          <w:p w:rsidR="0082434B" w:rsidRPr="003D17ED" w:rsidRDefault="0082434B" w:rsidP="00563364">
            <w:pPr>
              <w:autoSpaceDE w:val="0"/>
              <w:autoSpaceDN w:val="0"/>
              <w:adjustRightInd w:val="0"/>
              <w:rPr>
                <w:rFonts w:eastAsia="MS Mincho"/>
                <w:b/>
              </w:rPr>
            </w:pPr>
          </w:p>
        </w:tc>
        <w:tc>
          <w:tcPr>
            <w:tcW w:w="1887" w:type="pct"/>
            <w:shd w:val="clear" w:color="auto" w:fill="auto"/>
            <w:vAlign w:val="center"/>
            <w:hideMark/>
          </w:tcPr>
          <w:p w:rsidR="0082434B" w:rsidRPr="003D17ED" w:rsidRDefault="0082434B" w:rsidP="0082434B">
            <w:pPr>
              <w:autoSpaceDE w:val="0"/>
              <w:autoSpaceDN w:val="0"/>
              <w:adjustRightInd w:val="0"/>
              <w:jc w:val="center"/>
              <w:rPr>
                <w:rFonts w:eastAsia="MS Mincho"/>
                <w:b/>
                <w:bCs/>
              </w:rPr>
            </w:pPr>
            <w:r w:rsidRPr="003D17ED">
              <w:rPr>
                <w:rFonts w:eastAsia="MS Mincho"/>
                <w:b/>
                <w:bCs/>
              </w:rPr>
              <w:t>Cases Removed from Presumptive Compliance (FY16 YTD)</w:t>
            </w:r>
          </w:p>
        </w:tc>
        <w:tc>
          <w:tcPr>
            <w:tcW w:w="1778" w:type="pct"/>
            <w:shd w:val="clear" w:color="auto" w:fill="auto"/>
            <w:vAlign w:val="center"/>
            <w:hideMark/>
          </w:tcPr>
          <w:p w:rsidR="0082434B" w:rsidRPr="003D17ED" w:rsidRDefault="0082434B" w:rsidP="00563364">
            <w:pPr>
              <w:autoSpaceDE w:val="0"/>
              <w:autoSpaceDN w:val="0"/>
              <w:adjustRightInd w:val="0"/>
              <w:jc w:val="center"/>
              <w:rPr>
                <w:rFonts w:eastAsia="MS Mincho"/>
                <w:b/>
                <w:bCs/>
              </w:rPr>
            </w:pPr>
            <w:r w:rsidRPr="003D17ED">
              <w:rPr>
                <w:rFonts w:eastAsia="MS Mincho"/>
                <w:b/>
                <w:bCs/>
              </w:rPr>
              <w:t xml:space="preserve">Estimated Medicare National Cases Removed from Presumptive Compliance </w:t>
            </w:r>
          </w:p>
          <w:p w:rsidR="0082434B" w:rsidRPr="003D17ED" w:rsidRDefault="0082434B" w:rsidP="00563364">
            <w:pPr>
              <w:autoSpaceDE w:val="0"/>
              <w:autoSpaceDN w:val="0"/>
              <w:adjustRightInd w:val="0"/>
              <w:jc w:val="center"/>
              <w:rPr>
                <w:rFonts w:eastAsia="MS Mincho"/>
                <w:b/>
                <w:bCs/>
              </w:rPr>
            </w:pPr>
            <w:r w:rsidRPr="003D17ED">
              <w:rPr>
                <w:rFonts w:eastAsia="MS Mincho"/>
                <w:b/>
                <w:bCs/>
              </w:rPr>
              <w:t>(FY16 YTD)*</w:t>
            </w:r>
          </w:p>
        </w:tc>
      </w:tr>
      <w:tr w:rsidR="0082434B" w:rsidRPr="00B65FC2" w:rsidTr="00563364">
        <w:trPr>
          <w:trHeight w:val="510"/>
        </w:trPr>
        <w:tc>
          <w:tcPr>
            <w:tcW w:w="1335" w:type="pct"/>
            <w:shd w:val="clear" w:color="auto" w:fill="auto"/>
            <w:vAlign w:val="center"/>
            <w:hideMark/>
          </w:tcPr>
          <w:p w:rsidR="0082434B" w:rsidRPr="003D17ED" w:rsidRDefault="0082434B" w:rsidP="00563364">
            <w:pPr>
              <w:autoSpaceDE w:val="0"/>
              <w:autoSpaceDN w:val="0"/>
              <w:adjustRightInd w:val="0"/>
              <w:rPr>
                <w:rFonts w:eastAsia="MS Mincho"/>
                <w:b/>
                <w:bCs/>
              </w:rPr>
            </w:pPr>
            <w:r w:rsidRPr="003D17ED">
              <w:rPr>
                <w:rFonts w:eastAsia="MS Mincho"/>
                <w:b/>
                <w:bCs/>
              </w:rPr>
              <w:t xml:space="preserve">Brain Injury </w:t>
            </w:r>
            <w:r w:rsidRPr="003D17ED">
              <w:rPr>
                <w:rFonts w:eastAsia="MS Mincho"/>
                <w:b/>
                <w:bCs/>
              </w:rPr>
              <w:br/>
              <w:t>(IGC 2.21, 2.22)</w:t>
            </w:r>
          </w:p>
        </w:tc>
        <w:tc>
          <w:tcPr>
            <w:tcW w:w="1887" w:type="pct"/>
            <w:shd w:val="clear" w:color="auto" w:fill="auto"/>
            <w:noWrap/>
            <w:vAlign w:val="center"/>
            <w:hideMark/>
          </w:tcPr>
          <w:p w:rsidR="0082434B" w:rsidRPr="003D17ED" w:rsidRDefault="0082434B" w:rsidP="00563364">
            <w:pPr>
              <w:autoSpaceDE w:val="0"/>
              <w:autoSpaceDN w:val="0"/>
              <w:adjustRightInd w:val="0"/>
              <w:jc w:val="center"/>
              <w:rPr>
                <w:rFonts w:eastAsia="MS Mincho"/>
              </w:rPr>
            </w:pPr>
            <w:r w:rsidRPr="003D17ED">
              <w:rPr>
                <w:rFonts w:eastAsia="MS Mincho"/>
              </w:rPr>
              <w:t>1,607</w:t>
            </w:r>
          </w:p>
        </w:tc>
        <w:tc>
          <w:tcPr>
            <w:tcW w:w="1778" w:type="pct"/>
            <w:shd w:val="clear" w:color="auto" w:fill="auto"/>
            <w:noWrap/>
            <w:vAlign w:val="center"/>
            <w:hideMark/>
          </w:tcPr>
          <w:p w:rsidR="0082434B" w:rsidRPr="003D17ED" w:rsidRDefault="0082434B" w:rsidP="00563364">
            <w:pPr>
              <w:autoSpaceDE w:val="0"/>
              <w:autoSpaceDN w:val="0"/>
              <w:adjustRightInd w:val="0"/>
              <w:jc w:val="center"/>
              <w:rPr>
                <w:rFonts w:eastAsia="MS Mincho"/>
                <w:b/>
              </w:rPr>
            </w:pPr>
            <w:r w:rsidRPr="003D17ED">
              <w:rPr>
                <w:rFonts w:eastAsia="MS Mincho"/>
                <w:b/>
              </w:rPr>
              <w:t>5,541</w:t>
            </w:r>
          </w:p>
        </w:tc>
      </w:tr>
      <w:tr w:rsidR="0082434B" w:rsidRPr="00B65FC2" w:rsidTr="00563364">
        <w:trPr>
          <w:trHeight w:val="510"/>
        </w:trPr>
        <w:tc>
          <w:tcPr>
            <w:tcW w:w="1335" w:type="pct"/>
            <w:shd w:val="clear" w:color="auto" w:fill="auto"/>
            <w:vAlign w:val="center"/>
            <w:hideMark/>
          </w:tcPr>
          <w:p w:rsidR="0082434B" w:rsidRPr="003D17ED" w:rsidRDefault="0082434B" w:rsidP="00563364">
            <w:pPr>
              <w:autoSpaceDE w:val="0"/>
              <w:autoSpaceDN w:val="0"/>
              <w:adjustRightInd w:val="0"/>
              <w:rPr>
                <w:rFonts w:eastAsia="MS Mincho"/>
                <w:b/>
                <w:bCs/>
              </w:rPr>
            </w:pPr>
            <w:r w:rsidRPr="003D17ED">
              <w:rPr>
                <w:rFonts w:eastAsia="MS Mincho"/>
                <w:b/>
                <w:bCs/>
              </w:rPr>
              <w:t xml:space="preserve">Hip Fracture </w:t>
            </w:r>
            <w:r w:rsidRPr="003D17ED">
              <w:rPr>
                <w:rFonts w:eastAsia="MS Mincho"/>
                <w:b/>
                <w:bCs/>
              </w:rPr>
              <w:br/>
              <w:t>(IGC 08.11)</w:t>
            </w:r>
          </w:p>
        </w:tc>
        <w:tc>
          <w:tcPr>
            <w:tcW w:w="1887" w:type="pct"/>
            <w:shd w:val="clear" w:color="auto" w:fill="auto"/>
            <w:noWrap/>
            <w:vAlign w:val="center"/>
            <w:hideMark/>
          </w:tcPr>
          <w:p w:rsidR="0082434B" w:rsidRPr="003D17ED" w:rsidRDefault="0082434B" w:rsidP="00563364">
            <w:pPr>
              <w:autoSpaceDE w:val="0"/>
              <w:autoSpaceDN w:val="0"/>
              <w:adjustRightInd w:val="0"/>
              <w:jc w:val="center"/>
              <w:rPr>
                <w:rFonts w:eastAsia="MS Mincho"/>
              </w:rPr>
            </w:pPr>
            <w:r w:rsidRPr="003D17ED">
              <w:rPr>
                <w:rFonts w:eastAsia="MS Mincho"/>
              </w:rPr>
              <w:t>1,329</w:t>
            </w:r>
          </w:p>
        </w:tc>
        <w:tc>
          <w:tcPr>
            <w:tcW w:w="1778" w:type="pct"/>
            <w:shd w:val="clear" w:color="auto" w:fill="auto"/>
            <w:noWrap/>
            <w:vAlign w:val="center"/>
            <w:hideMark/>
          </w:tcPr>
          <w:p w:rsidR="0082434B" w:rsidRPr="003D17ED" w:rsidRDefault="0082434B" w:rsidP="00563364">
            <w:pPr>
              <w:autoSpaceDE w:val="0"/>
              <w:autoSpaceDN w:val="0"/>
              <w:adjustRightInd w:val="0"/>
              <w:jc w:val="center"/>
              <w:rPr>
                <w:rFonts w:eastAsia="MS Mincho"/>
                <w:b/>
              </w:rPr>
            </w:pPr>
            <w:r w:rsidRPr="003D17ED">
              <w:rPr>
                <w:rFonts w:eastAsia="MS Mincho"/>
                <w:b/>
              </w:rPr>
              <w:t>4,583</w:t>
            </w:r>
          </w:p>
        </w:tc>
      </w:tr>
      <w:tr w:rsidR="0082434B" w:rsidRPr="00B65FC2" w:rsidTr="00563364">
        <w:trPr>
          <w:trHeight w:val="510"/>
        </w:trPr>
        <w:tc>
          <w:tcPr>
            <w:tcW w:w="1335" w:type="pct"/>
            <w:shd w:val="clear" w:color="auto" w:fill="auto"/>
            <w:vAlign w:val="center"/>
            <w:hideMark/>
          </w:tcPr>
          <w:p w:rsidR="0082434B" w:rsidRPr="003D17ED" w:rsidRDefault="0082434B" w:rsidP="00563364">
            <w:pPr>
              <w:autoSpaceDE w:val="0"/>
              <w:autoSpaceDN w:val="0"/>
              <w:adjustRightInd w:val="0"/>
              <w:rPr>
                <w:rFonts w:eastAsia="MS Mincho"/>
                <w:b/>
                <w:bCs/>
              </w:rPr>
            </w:pPr>
            <w:r w:rsidRPr="003D17ED">
              <w:rPr>
                <w:rFonts w:eastAsia="MS Mincho"/>
                <w:b/>
                <w:bCs/>
              </w:rPr>
              <w:lastRenderedPageBreak/>
              <w:t>Major Multiple Fracture (IGC 08.4)</w:t>
            </w:r>
          </w:p>
        </w:tc>
        <w:tc>
          <w:tcPr>
            <w:tcW w:w="1887" w:type="pct"/>
            <w:shd w:val="clear" w:color="auto" w:fill="auto"/>
            <w:noWrap/>
            <w:vAlign w:val="center"/>
            <w:hideMark/>
          </w:tcPr>
          <w:p w:rsidR="0082434B" w:rsidRPr="003D17ED" w:rsidRDefault="0082434B" w:rsidP="00563364">
            <w:pPr>
              <w:autoSpaceDE w:val="0"/>
              <w:autoSpaceDN w:val="0"/>
              <w:adjustRightInd w:val="0"/>
              <w:jc w:val="center"/>
              <w:rPr>
                <w:rFonts w:eastAsia="MS Mincho"/>
              </w:rPr>
            </w:pPr>
            <w:r w:rsidRPr="003D17ED">
              <w:rPr>
                <w:rFonts w:eastAsia="MS Mincho"/>
              </w:rPr>
              <w:t>479</w:t>
            </w:r>
          </w:p>
        </w:tc>
        <w:tc>
          <w:tcPr>
            <w:tcW w:w="1778" w:type="pct"/>
            <w:shd w:val="clear" w:color="auto" w:fill="auto"/>
            <w:noWrap/>
            <w:vAlign w:val="center"/>
            <w:hideMark/>
          </w:tcPr>
          <w:p w:rsidR="0082434B" w:rsidRPr="003D17ED" w:rsidRDefault="0082434B" w:rsidP="00563364">
            <w:pPr>
              <w:autoSpaceDE w:val="0"/>
              <w:autoSpaceDN w:val="0"/>
              <w:adjustRightInd w:val="0"/>
              <w:jc w:val="center"/>
              <w:rPr>
                <w:rFonts w:eastAsia="MS Mincho"/>
                <w:b/>
              </w:rPr>
            </w:pPr>
            <w:r w:rsidRPr="003D17ED">
              <w:rPr>
                <w:rFonts w:eastAsia="MS Mincho"/>
                <w:b/>
              </w:rPr>
              <w:t>1,652</w:t>
            </w:r>
          </w:p>
        </w:tc>
      </w:tr>
      <w:tr w:rsidR="0082434B" w:rsidRPr="00B65FC2" w:rsidTr="00563364">
        <w:trPr>
          <w:trHeight w:val="510"/>
        </w:trPr>
        <w:tc>
          <w:tcPr>
            <w:tcW w:w="1335" w:type="pct"/>
            <w:shd w:val="clear" w:color="auto" w:fill="auto"/>
            <w:vAlign w:val="center"/>
          </w:tcPr>
          <w:p w:rsidR="0082434B" w:rsidRPr="003D17ED" w:rsidRDefault="0082434B" w:rsidP="00563364">
            <w:pPr>
              <w:autoSpaceDE w:val="0"/>
              <w:autoSpaceDN w:val="0"/>
              <w:adjustRightInd w:val="0"/>
              <w:rPr>
                <w:rFonts w:eastAsia="MS Mincho"/>
                <w:b/>
                <w:bCs/>
              </w:rPr>
            </w:pPr>
            <w:r w:rsidRPr="003D17ED">
              <w:rPr>
                <w:rFonts w:eastAsia="MS Mincho"/>
                <w:b/>
                <w:bCs/>
              </w:rPr>
              <w:t>TOTAL</w:t>
            </w:r>
          </w:p>
        </w:tc>
        <w:tc>
          <w:tcPr>
            <w:tcW w:w="1887" w:type="pct"/>
            <w:shd w:val="clear" w:color="auto" w:fill="auto"/>
            <w:noWrap/>
            <w:vAlign w:val="center"/>
          </w:tcPr>
          <w:p w:rsidR="0082434B" w:rsidRPr="003D17ED" w:rsidRDefault="0082434B" w:rsidP="00563364">
            <w:pPr>
              <w:autoSpaceDE w:val="0"/>
              <w:autoSpaceDN w:val="0"/>
              <w:adjustRightInd w:val="0"/>
              <w:jc w:val="center"/>
              <w:rPr>
                <w:rFonts w:eastAsia="MS Mincho"/>
              </w:rPr>
            </w:pPr>
            <w:r w:rsidRPr="003D17ED">
              <w:rPr>
                <w:rFonts w:eastAsia="MS Mincho"/>
              </w:rPr>
              <w:t>3,415</w:t>
            </w:r>
          </w:p>
        </w:tc>
        <w:tc>
          <w:tcPr>
            <w:tcW w:w="1778" w:type="pct"/>
            <w:shd w:val="clear" w:color="auto" w:fill="auto"/>
            <w:noWrap/>
            <w:vAlign w:val="center"/>
          </w:tcPr>
          <w:p w:rsidR="0082434B" w:rsidRPr="003D17ED" w:rsidRDefault="0082434B" w:rsidP="00563364">
            <w:pPr>
              <w:autoSpaceDE w:val="0"/>
              <w:autoSpaceDN w:val="0"/>
              <w:adjustRightInd w:val="0"/>
              <w:jc w:val="center"/>
              <w:rPr>
                <w:rFonts w:eastAsia="MS Mincho"/>
                <w:b/>
              </w:rPr>
            </w:pPr>
            <w:r w:rsidRPr="003D17ED">
              <w:rPr>
                <w:rFonts w:eastAsia="MS Mincho"/>
                <w:b/>
              </w:rPr>
              <w:t>11,776</w:t>
            </w:r>
          </w:p>
        </w:tc>
      </w:tr>
    </w:tbl>
    <w:p w:rsidR="0082434B" w:rsidRPr="00B65FC2" w:rsidRDefault="0082434B" w:rsidP="0082434B">
      <w:pPr>
        <w:autoSpaceDE w:val="0"/>
        <w:autoSpaceDN w:val="0"/>
        <w:adjustRightInd w:val="0"/>
      </w:pPr>
      <w:r w:rsidRPr="00B65FC2">
        <w:t>Source: eRehabData®, Medicare discharges for FY 2015 (10/1/2014-9/30/2015) and FY 2016 YTD (10/1/2015 – 6/9/2016)</w:t>
      </w:r>
    </w:p>
    <w:p w:rsidR="0082434B" w:rsidRPr="00B65FC2" w:rsidRDefault="0082434B" w:rsidP="0082434B">
      <w:r w:rsidRPr="00B65FC2">
        <w:t xml:space="preserve"> </w:t>
      </w:r>
      <w:r w:rsidRPr="00B65FC2">
        <w:rPr>
          <w:i/>
        </w:rPr>
        <w:t>*</w:t>
      </w:r>
      <w:r w:rsidRPr="00B65FC2">
        <w:t xml:space="preserve">Approximation based on eRehabData® capturing approximately 29% of total Medicare IRF discharges. </w:t>
      </w:r>
    </w:p>
    <w:p w:rsidR="0082434B" w:rsidRPr="00B65FC2" w:rsidRDefault="0082434B" w:rsidP="0082434B">
      <w:pPr>
        <w:autoSpaceDE w:val="0"/>
        <w:autoSpaceDN w:val="0"/>
        <w:adjustRightInd w:val="0"/>
      </w:pPr>
    </w:p>
    <w:p w:rsidR="0082434B" w:rsidRPr="00B65FC2" w:rsidRDefault="0082434B" w:rsidP="0082434B">
      <w:pPr>
        <w:autoSpaceDE w:val="0"/>
        <w:autoSpaceDN w:val="0"/>
        <w:adjustRightInd w:val="0"/>
      </w:pPr>
      <w:r>
        <w:t>According to this data, c</w:t>
      </w:r>
      <w:r w:rsidRPr="00B65FC2">
        <w:t>ompared to FY 2015, IRFs have experienced a -58.8 percent decrease in their presumptive compliance percentages for brain injury cases (IGCs 2.21, 2.22), -18.1 percent decrease in hip fractures cases (IGC 8.11) and -29.7 percent decrease for major multiple fracture (IGC 8.4).</w:t>
      </w:r>
    </w:p>
    <w:p w:rsidR="0082434B" w:rsidRPr="00B65FC2" w:rsidRDefault="0082434B" w:rsidP="0082434B">
      <w:pPr>
        <w:autoSpaceDE w:val="0"/>
        <w:autoSpaceDN w:val="0"/>
        <w:adjustRightInd w:val="0"/>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427"/>
        <w:gridCol w:w="2103"/>
        <w:gridCol w:w="1433"/>
        <w:gridCol w:w="1976"/>
        <w:gridCol w:w="1762"/>
      </w:tblGrid>
      <w:tr w:rsidR="0082434B" w:rsidRPr="00B65FC2" w:rsidTr="00563364">
        <w:trPr>
          <w:trHeight w:val="872"/>
        </w:trPr>
        <w:tc>
          <w:tcPr>
            <w:tcW w:w="714" w:type="pct"/>
            <w:tcBorders>
              <w:top w:val="single" w:sz="18" w:space="0" w:color="000000"/>
              <w:left w:val="single" w:sz="18" w:space="0" w:color="000000"/>
              <w:right w:val="single" w:sz="18" w:space="0" w:color="000000"/>
            </w:tcBorders>
            <w:shd w:val="clear" w:color="auto" w:fill="auto"/>
          </w:tcPr>
          <w:p w:rsidR="0082434B" w:rsidRPr="003D17ED" w:rsidRDefault="0082434B" w:rsidP="00563364">
            <w:pPr>
              <w:autoSpaceDE w:val="0"/>
              <w:autoSpaceDN w:val="0"/>
              <w:adjustRightInd w:val="0"/>
              <w:rPr>
                <w:rFonts w:eastAsia="MS Mincho"/>
              </w:rPr>
            </w:pPr>
          </w:p>
        </w:tc>
        <w:tc>
          <w:tcPr>
            <w:tcW w:w="1739" w:type="pct"/>
            <w:gridSpan w:val="2"/>
            <w:tcBorders>
              <w:top w:val="single" w:sz="18" w:space="0" w:color="000000"/>
              <w:left w:val="single" w:sz="18" w:space="0" w:color="000000"/>
              <w:right w:val="single" w:sz="18" w:space="0" w:color="000000"/>
            </w:tcBorders>
            <w:shd w:val="clear" w:color="auto" w:fill="auto"/>
            <w:vAlign w:val="center"/>
          </w:tcPr>
          <w:p w:rsidR="0082434B" w:rsidRPr="003D17ED" w:rsidRDefault="0082434B" w:rsidP="00563364">
            <w:pPr>
              <w:autoSpaceDE w:val="0"/>
              <w:autoSpaceDN w:val="0"/>
              <w:adjustRightInd w:val="0"/>
              <w:jc w:val="center"/>
              <w:rPr>
                <w:rFonts w:eastAsia="MS Mincho"/>
                <w:b/>
                <w:bCs/>
              </w:rPr>
            </w:pPr>
            <w:r w:rsidRPr="003D17ED">
              <w:rPr>
                <w:rFonts w:eastAsia="MS Mincho"/>
                <w:b/>
                <w:bCs/>
              </w:rPr>
              <w:t xml:space="preserve">FY 2015 </w:t>
            </w:r>
          </w:p>
        </w:tc>
        <w:tc>
          <w:tcPr>
            <w:tcW w:w="2547" w:type="pct"/>
            <w:gridSpan w:val="3"/>
            <w:tcBorders>
              <w:top w:val="single" w:sz="18" w:space="0" w:color="000000"/>
              <w:left w:val="single" w:sz="18" w:space="0" w:color="000000"/>
              <w:right w:val="single" w:sz="18" w:space="0" w:color="000000"/>
            </w:tcBorders>
            <w:shd w:val="clear" w:color="auto" w:fill="auto"/>
            <w:vAlign w:val="center"/>
          </w:tcPr>
          <w:p w:rsidR="0082434B" w:rsidRPr="003D17ED" w:rsidRDefault="0082434B" w:rsidP="00563364">
            <w:pPr>
              <w:autoSpaceDE w:val="0"/>
              <w:autoSpaceDN w:val="0"/>
              <w:adjustRightInd w:val="0"/>
              <w:jc w:val="center"/>
              <w:rPr>
                <w:rFonts w:eastAsia="MS Mincho"/>
                <w:b/>
                <w:bCs/>
              </w:rPr>
            </w:pPr>
            <w:r w:rsidRPr="003D17ED">
              <w:rPr>
                <w:rFonts w:eastAsia="MS Mincho"/>
                <w:b/>
                <w:bCs/>
              </w:rPr>
              <w:t>FY 2016 YTD</w:t>
            </w:r>
          </w:p>
        </w:tc>
        <w:bookmarkStart w:id="0" w:name="_GoBack"/>
        <w:bookmarkEnd w:id="0"/>
      </w:tr>
      <w:tr w:rsidR="0082434B" w:rsidRPr="00B65FC2" w:rsidTr="00563364">
        <w:trPr>
          <w:trHeight w:val="2366"/>
        </w:trPr>
        <w:tc>
          <w:tcPr>
            <w:tcW w:w="714" w:type="pct"/>
            <w:tcBorders>
              <w:left w:val="single" w:sz="18" w:space="0" w:color="000000"/>
              <w:right w:val="single" w:sz="18" w:space="0" w:color="000000"/>
            </w:tcBorders>
            <w:shd w:val="clear" w:color="auto" w:fill="auto"/>
            <w:hideMark/>
          </w:tcPr>
          <w:p w:rsidR="0082434B" w:rsidRPr="003D17ED" w:rsidRDefault="0082434B" w:rsidP="00563364">
            <w:pPr>
              <w:autoSpaceDE w:val="0"/>
              <w:autoSpaceDN w:val="0"/>
              <w:adjustRightInd w:val="0"/>
              <w:rPr>
                <w:rFonts w:eastAsia="MS Mincho"/>
              </w:rPr>
            </w:pPr>
          </w:p>
        </w:tc>
        <w:tc>
          <w:tcPr>
            <w:tcW w:w="703" w:type="pct"/>
            <w:tcBorders>
              <w:left w:val="single" w:sz="18" w:space="0" w:color="000000"/>
            </w:tcBorders>
            <w:shd w:val="clear" w:color="auto" w:fill="auto"/>
            <w:hideMark/>
          </w:tcPr>
          <w:p w:rsidR="0082434B" w:rsidRPr="003D17ED" w:rsidRDefault="0082434B" w:rsidP="00563364">
            <w:pPr>
              <w:autoSpaceDE w:val="0"/>
              <w:autoSpaceDN w:val="0"/>
              <w:adjustRightInd w:val="0"/>
              <w:jc w:val="center"/>
              <w:rPr>
                <w:rFonts w:eastAsia="MS Mincho"/>
                <w:b/>
                <w:bCs/>
              </w:rPr>
            </w:pPr>
            <w:r w:rsidRPr="003D17ED">
              <w:rPr>
                <w:rFonts w:eastAsia="MS Mincho"/>
                <w:b/>
                <w:bCs/>
              </w:rPr>
              <w:t>Discharges</w:t>
            </w:r>
          </w:p>
        </w:tc>
        <w:tc>
          <w:tcPr>
            <w:tcW w:w="1035" w:type="pct"/>
            <w:tcBorders>
              <w:right w:val="single" w:sz="18" w:space="0" w:color="000000"/>
            </w:tcBorders>
            <w:shd w:val="clear" w:color="auto" w:fill="auto"/>
            <w:hideMark/>
          </w:tcPr>
          <w:p w:rsidR="0082434B" w:rsidRPr="003D17ED" w:rsidRDefault="0082434B" w:rsidP="00563364">
            <w:pPr>
              <w:autoSpaceDE w:val="0"/>
              <w:autoSpaceDN w:val="0"/>
              <w:adjustRightInd w:val="0"/>
              <w:jc w:val="center"/>
              <w:rPr>
                <w:rFonts w:eastAsia="MS Mincho"/>
                <w:b/>
                <w:bCs/>
              </w:rPr>
            </w:pPr>
            <w:r w:rsidRPr="003D17ED">
              <w:rPr>
                <w:rFonts w:eastAsia="MS Mincho"/>
                <w:b/>
                <w:bCs/>
              </w:rPr>
              <w:t>Presumptively Compliant Discharges (and as % of All Discharges)</w:t>
            </w:r>
          </w:p>
        </w:tc>
        <w:tc>
          <w:tcPr>
            <w:tcW w:w="706" w:type="pct"/>
            <w:tcBorders>
              <w:left w:val="single" w:sz="18" w:space="0" w:color="000000"/>
            </w:tcBorders>
            <w:shd w:val="clear" w:color="auto" w:fill="auto"/>
            <w:hideMark/>
          </w:tcPr>
          <w:p w:rsidR="0082434B" w:rsidRPr="003D17ED" w:rsidRDefault="0082434B" w:rsidP="00563364">
            <w:pPr>
              <w:autoSpaceDE w:val="0"/>
              <w:autoSpaceDN w:val="0"/>
              <w:adjustRightInd w:val="0"/>
              <w:jc w:val="center"/>
              <w:rPr>
                <w:rFonts w:eastAsia="MS Mincho"/>
                <w:b/>
                <w:bCs/>
              </w:rPr>
            </w:pPr>
            <w:r w:rsidRPr="003D17ED">
              <w:rPr>
                <w:rFonts w:eastAsia="MS Mincho"/>
                <w:b/>
                <w:bCs/>
              </w:rPr>
              <w:t>Discharges</w:t>
            </w:r>
          </w:p>
        </w:tc>
        <w:tc>
          <w:tcPr>
            <w:tcW w:w="973" w:type="pct"/>
            <w:tcBorders>
              <w:right w:val="single" w:sz="18" w:space="0" w:color="000000"/>
            </w:tcBorders>
            <w:shd w:val="clear" w:color="auto" w:fill="auto"/>
            <w:hideMark/>
          </w:tcPr>
          <w:p w:rsidR="0082434B" w:rsidRPr="003D17ED" w:rsidRDefault="0082434B" w:rsidP="00563364">
            <w:pPr>
              <w:autoSpaceDE w:val="0"/>
              <w:autoSpaceDN w:val="0"/>
              <w:adjustRightInd w:val="0"/>
              <w:jc w:val="center"/>
              <w:rPr>
                <w:rFonts w:eastAsia="MS Mincho"/>
                <w:b/>
                <w:bCs/>
              </w:rPr>
            </w:pPr>
            <w:r w:rsidRPr="003D17ED">
              <w:rPr>
                <w:rFonts w:eastAsia="MS Mincho"/>
                <w:b/>
                <w:bCs/>
              </w:rPr>
              <w:t>Presumptively Compliant Discharges (and % of All Discharges)</w:t>
            </w:r>
          </w:p>
        </w:tc>
        <w:tc>
          <w:tcPr>
            <w:tcW w:w="868" w:type="pct"/>
            <w:tcBorders>
              <w:left w:val="single" w:sz="18" w:space="0" w:color="000000"/>
              <w:right w:val="single" w:sz="18" w:space="0" w:color="000000"/>
            </w:tcBorders>
            <w:shd w:val="clear" w:color="auto" w:fill="auto"/>
          </w:tcPr>
          <w:p w:rsidR="0082434B" w:rsidRPr="003D17ED" w:rsidRDefault="0082434B" w:rsidP="00563364">
            <w:pPr>
              <w:autoSpaceDE w:val="0"/>
              <w:autoSpaceDN w:val="0"/>
              <w:adjustRightInd w:val="0"/>
              <w:jc w:val="center"/>
              <w:rPr>
                <w:rFonts w:eastAsia="MS Mincho"/>
                <w:b/>
                <w:bCs/>
                <w:i/>
              </w:rPr>
            </w:pPr>
            <w:r w:rsidRPr="003D17ED">
              <w:rPr>
                <w:rFonts w:eastAsia="MS Mincho"/>
                <w:b/>
                <w:bCs/>
                <w:i/>
              </w:rPr>
              <w:t>Change in IRF's Presumptive Compliance Due to FY16 IGC Etiologic Diagnoses Exclusions</w:t>
            </w:r>
          </w:p>
        </w:tc>
      </w:tr>
      <w:tr w:rsidR="0082434B" w:rsidRPr="00B65FC2" w:rsidTr="00563364">
        <w:trPr>
          <w:trHeight w:val="510"/>
        </w:trPr>
        <w:tc>
          <w:tcPr>
            <w:tcW w:w="714" w:type="pct"/>
            <w:tcBorders>
              <w:left w:val="single" w:sz="18" w:space="0" w:color="000000"/>
              <w:right w:val="single" w:sz="18" w:space="0" w:color="000000"/>
            </w:tcBorders>
            <w:shd w:val="clear" w:color="auto" w:fill="auto"/>
            <w:hideMark/>
          </w:tcPr>
          <w:p w:rsidR="0082434B" w:rsidRPr="003D17ED" w:rsidRDefault="0082434B" w:rsidP="00563364">
            <w:pPr>
              <w:autoSpaceDE w:val="0"/>
              <w:autoSpaceDN w:val="0"/>
              <w:adjustRightInd w:val="0"/>
              <w:rPr>
                <w:rFonts w:eastAsia="MS Mincho"/>
                <w:b/>
                <w:bCs/>
              </w:rPr>
            </w:pPr>
            <w:r w:rsidRPr="003D17ED">
              <w:rPr>
                <w:rFonts w:eastAsia="MS Mincho"/>
                <w:b/>
                <w:bCs/>
              </w:rPr>
              <w:t>Brain Injury (IGCs 2.21, 2.22)</w:t>
            </w:r>
          </w:p>
        </w:tc>
        <w:tc>
          <w:tcPr>
            <w:tcW w:w="703" w:type="pct"/>
            <w:tcBorders>
              <w:left w:val="single" w:sz="18" w:space="0" w:color="000000"/>
            </w:tcBorders>
            <w:shd w:val="clear" w:color="auto" w:fill="auto"/>
            <w:vAlign w:val="center"/>
            <w:hideMark/>
          </w:tcPr>
          <w:p w:rsidR="0082434B" w:rsidRPr="003D17ED" w:rsidRDefault="0082434B" w:rsidP="00563364">
            <w:pPr>
              <w:autoSpaceDE w:val="0"/>
              <w:autoSpaceDN w:val="0"/>
              <w:adjustRightInd w:val="0"/>
              <w:jc w:val="center"/>
              <w:rPr>
                <w:rFonts w:eastAsia="MS Mincho"/>
              </w:rPr>
            </w:pPr>
            <w:r w:rsidRPr="003D17ED">
              <w:rPr>
                <w:rFonts w:eastAsia="MS Mincho"/>
              </w:rPr>
              <w:t>4,442</w:t>
            </w:r>
          </w:p>
        </w:tc>
        <w:tc>
          <w:tcPr>
            <w:tcW w:w="1035" w:type="pct"/>
            <w:tcBorders>
              <w:right w:val="single" w:sz="18" w:space="0" w:color="000000"/>
            </w:tcBorders>
            <w:shd w:val="clear" w:color="auto" w:fill="auto"/>
            <w:vAlign w:val="center"/>
            <w:hideMark/>
          </w:tcPr>
          <w:p w:rsidR="0082434B" w:rsidRPr="003D17ED" w:rsidRDefault="0082434B" w:rsidP="00563364">
            <w:pPr>
              <w:autoSpaceDE w:val="0"/>
              <w:autoSpaceDN w:val="0"/>
              <w:adjustRightInd w:val="0"/>
              <w:jc w:val="center"/>
              <w:rPr>
                <w:rFonts w:eastAsia="MS Mincho"/>
              </w:rPr>
            </w:pPr>
            <w:r w:rsidRPr="003D17ED">
              <w:rPr>
                <w:rFonts w:eastAsia="MS Mincho"/>
              </w:rPr>
              <w:t>4,442 (100%)</w:t>
            </w:r>
          </w:p>
        </w:tc>
        <w:tc>
          <w:tcPr>
            <w:tcW w:w="706" w:type="pct"/>
            <w:tcBorders>
              <w:left w:val="single" w:sz="18" w:space="0" w:color="000000"/>
            </w:tcBorders>
            <w:shd w:val="clear" w:color="auto" w:fill="auto"/>
            <w:vAlign w:val="center"/>
            <w:hideMark/>
          </w:tcPr>
          <w:p w:rsidR="0082434B" w:rsidRPr="003D17ED" w:rsidRDefault="0082434B" w:rsidP="00563364">
            <w:pPr>
              <w:autoSpaceDE w:val="0"/>
              <w:autoSpaceDN w:val="0"/>
              <w:adjustRightInd w:val="0"/>
              <w:jc w:val="center"/>
              <w:rPr>
                <w:rFonts w:eastAsia="MS Mincho"/>
              </w:rPr>
            </w:pPr>
            <w:r w:rsidRPr="003D17ED">
              <w:rPr>
                <w:rFonts w:eastAsia="MS Mincho"/>
              </w:rPr>
              <w:t>2,735</w:t>
            </w:r>
          </w:p>
        </w:tc>
        <w:tc>
          <w:tcPr>
            <w:tcW w:w="973" w:type="pct"/>
            <w:tcBorders>
              <w:right w:val="single" w:sz="18" w:space="0" w:color="000000"/>
            </w:tcBorders>
            <w:shd w:val="clear" w:color="auto" w:fill="auto"/>
            <w:vAlign w:val="center"/>
            <w:hideMark/>
          </w:tcPr>
          <w:p w:rsidR="0082434B" w:rsidRPr="003D17ED" w:rsidRDefault="0082434B" w:rsidP="00563364">
            <w:pPr>
              <w:autoSpaceDE w:val="0"/>
              <w:autoSpaceDN w:val="0"/>
              <w:adjustRightInd w:val="0"/>
              <w:jc w:val="center"/>
              <w:rPr>
                <w:rFonts w:eastAsia="MS Mincho"/>
              </w:rPr>
            </w:pPr>
            <w:r w:rsidRPr="003D17ED">
              <w:rPr>
                <w:rFonts w:eastAsia="MS Mincho"/>
              </w:rPr>
              <w:t>1,128 (41.2%)</w:t>
            </w:r>
          </w:p>
        </w:tc>
        <w:tc>
          <w:tcPr>
            <w:tcW w:w="868" w:type="pct"/>
            <w:tcBorders>
              <w:left w:val="single" w:sz="18" w:space="0" w:color="000000"/>
              <w:right w:val="single" w:sz="18" w:space="0" w:color="000000"/>
            </w:tcBorders>
            <w:shd w:val="clear" w:color="auto" w:fill="auto"/>
            <w:vAlign w:val="center"/>
          </w:tcPr>
          <w:p w:rsidR="0082434B" w:rsidRPr="003D17ED" w:rsidRDefault="0082434B" w:rsidP="00563364">
            <w:pPr>
              <w:autoSpaceDE w:val="0"/>
              <w:autoSpaceDN w:val="0"/>
              <w:adjustRightInd w:val="0"/>
              <w:jc w:val="center"/>
              <w:rPr>
                <w:rFonts w:eastAsia="MS Mincho"/>
                <w:b/>
                <w:i/>
              </w:rPr>
            </w:pPr>
            <w:r w:rsidRPr="003D17ED">
              <w:rPr>
                <w:rFonts w:eastAsia="MS Mincho"/>
                <w:b/>
                <w:i/>
              </w:rPr>
              <w:t>-58.8%</w:t>
            </w:r>
          </w:p>
        </w:tc>
      </w:tr>
      <w:tr w:rsidR="0082434B" w:rsidRPr="00B65FC2" w:rsidTr="00563364">
        <w:trPr>
          <w:trHeight w:val="510"/>
        </w:trPr>
        <w:tc>
          <w:tcPr>
            <w:tcW w:w="714" w:type="pct"/>
            <w:tcBorders>
              <w:left w:val="single" w:sz="18" w:space="0" w:color="000000"/>
              <w:right w:val="single" w:sz="18" w:space="0" w:color="000000"/>
            </w:tcBorders>
            <w:shd w:val="clear" w:color="auto" w:fill="auto"/>
            <w:hideMark/>
          </w:tcPr>
          <w:p w:rsidR="0082434B" w:rsidRPr="003D17ED" w:rsidRDefault="0082434B" w:rsidP="00563364">
            <w:pPr>
              <w:autoSpaceDE w:val="0"/>
              <w:autoSpaceDN w:val="0"/>
              <w:adjustRightInd w:val="0"/>
              <w:rPr>
                <w:rFonts w:eastAsia="MS Mincho"/>
                <w:b/>
                <w:bCs/>
              </w:rPr>
            </w:pPr>
            <w:r w:rsidRPr="003D17ED">
              <w:rPr>
                <w:rFonts w:eastAsia="MS Mincho"/>
                <w:b/>
                <w:bCs/>
              </w:rPr>
              <w:t>Hip Fracture (IGC 08.11)</w:t>
            </w:r>
          </w:p>
        </w:tc>
        <w:tc>
          <w:tcPr>
            <w:tcW w:w="703" w:type="pct"/>
            <w:tcBorders>
              <w:left w:val="single" w:sz="18" w:space="0" w:color="000000"/>
            </w:tcBorders>
            <w:shd w:val="clear" w:color="auto" w:fill="auto"/>
            <w:vAlign w:val="center"/>
            <w:hideMark/>
          </w:tcPr>
          <w:p w:rsidR="0082434B" w:rsidRPr="003D17ED" w:rsidRDefault="0082434B" w:rsidP="00563364">
            <w:pPr>
              <w:autoSpaceDE w:val="0"/>
              <w:autoSpaceDN w:val="0"/>
              <w:adjustRightInd w:val="0"/>
              <w:jc w:val="center"/>
              <w:rPr>
                <w:rFonts w:eastAsia="MS Mincho"/>
              </w:rPr>
            </w:pPr>
            <w:r w:rsidRPr="003D17ED">
              <w:rPr>
                <w:rFonts w:eastAsia="MS Mincho"/>
              </w:rPr>
              <w:t>12,930</w:t>
            </w:r>
          </w:p>
        </w:tc>
        <w:tc>
          <w:tcPr>
            <w:tcW w:w="1035" w:type="pct"/>
            <w:tcBorders>
              <w:right w:val="single" w:sz="18" w:space="0" w:color="000000"/>
            </w:tcBorders>
            <w:shd w:val="clear" w:color="auto" w:fill="auto"/>
            <w:vAlign w:val="center"/>
            <w:hideMark/>
          </w:tcPr>
          <w:p w:rsidR="0082434B" w:rsidRPr="003D17ED" w:rsidRDefault="0082434B" w:rsidP="00563364">
            <w:pPr>
              <w:autoSpaceDE w:val="0"/>
              <w:autoSpaceDN w:val="0"/>
              <w:adjustRightInd w:val="0"/>
              <w:jc w:val="center"/>
              <w:rPr>
                <w:rFonts w:eastAsia="MS Mincho"/>
              </w:rPr>
            </w:pPr>
            <w:r w:rsidRPr="003D17ED">
              <w:rPr>
                <w:rFonts w:eastAsia="MS Mincho"/>
              </w:rPr>
              <w:t>12,930 (100%)</w:t>
            </w:r>
          </w:p>
        </w:tc>
        <w:tc>
          <w:tcPr>
            <w:tcW w:w="706" w:type="pct"/>
            <w:tcBorders>
              <w:left w:val="single" w:sz="18" w:space="0" w:color="000000"/>
            </w:tcBorders>
            <w:shd w:val="clear" w:color="auto" w:fill="auto"/>
            <w:vAlign w:val="center"/>
            <w:hideMark/>
          </w:tcPr>
          <w:p w:rsidR="0082434B" w:rsidRPr="003D17ED" w:rsidRDefault="0082434B" w:rsidP="00563364">
            <w:pPr>
              <w:autoSpaceDE w:val="0"/>
              <w:autoSpaceDN w:val="0"/>
              <w:adjustRightInd w:val="0"/>
              <w:jc w:val="center"/>
              <w:rPr>
                <w:rFonts w:eastAsia="MS Mincho"/>
              </w:rPr>
            </w:pPr>
            <w:r w:rsidRPr="003D17ED">
              <w:rPr>
                <w:rFonts w:eastAsia="MS Mincho"/>
              </w:rPr>
              <w:t>7,327</w:t>
            </w:r>
          </w:p>
        </w:tc>
        <w:tc>
          <w:tcPr>
            <w:tcW w:w="973" w:type="pct"/>
            <w:tcBorders>
              <w:right w:val="single" w:sz="18" w:space="0" w:color="000000"/>
            </w:tcBorders>
            <w:shd w:val="clear" w:color="auto" w:fill="auto"/>
            <w:vAlign w:val="center"/>
            <w:hideMark/>
          </w:tcPr>
          <w:p w:rsidR="0082434B" w:rsidRPr="003D17ED" w:rsidRDefault="0082434B" w:rsidP="00563364">
            <w:pPr>
              <w:autoSpaceDE w:val="0"/>
              <w:autoSpaceDN w:val="0"/>
              <w:adjustRightInd w:val="0"/>
              <w:jc w:val="center"/>
              <w:rPr>
                <w:rFonts w:eastAsia="MS Mincho"/>
              </w:rPr>
            </w:pPr>
            <w:r w:rsidRPr="003D17ED">
              <w:rPr>
                <w:rFonts w:eastAsia="MS Mincho"/>
              </w:rPr>
              <w:t>5,998 (81.9%)</w:t>
            </w:r>
          </w:p>
        </w:tc>
        <w:tc>
          <w:tcPr>
            <w:tcW w:w="868" w:type="pct"/>
            <w:tcBorders>
              <w:left w:val="single" w:sz="18" w:space="0" w:color="000000"/>
              <w:right w:val="single" w:sz="18" w:space="0" w:color="000000"/>
            </w:tcBorders>
            <w:shd w:val="clear" w:color="auto" w:fill="auto"/>
            <w:vAlign w:val="center"/>
          </w:tcPr>
          <w:p w:rsidR="0082434B" w:rsidRPr="003D17ED" w:rsidRDefault="0082434B" w:rsidP="00563364">
            <w:pPr>
              <w:autoSpaceDE w:val="0"/>
              <w:autoSpaceDN w:val="0"/>
              <w:adjustRightInd w:val="0"/>
              <w:jc w:val="center"/>
              <w:rPr>
                <w:rFonts w:eastAsia="MS Mincho"/>
                <w:b/>
                <w:i/>
              </w:rPr>
            </w:pPr>
            <w:r w:rsidRPr="003D17ED">
              <w:rPr>
                <w:rFonts w:eastAsia="MS Mincho"/>
                <w:b/>
                <w:i/>
              </w:rPr>
              <w:t>-18.1%</w:t>
            </w:r>
          </w:p>
        </w:tc>
      </w:tr>
      <w:tr w:rsidR="0082434B" w:rsidRPr="00B65FC2" w:rsidTr="00563364">
        <w:trPr>
          <w:trHeight w:val="1196"/>
        </w:trPr>
        <w:tc>
          <w:tcPr>
            <w:tcW w:w="714" w:type="pct"/>
            <w:tcBorders>
              <w:left w:val="single" w:sz="18" w:space="0" w:color="000000"/>
              <w:bottom w:val="single" w:sz="18" w:space="0" w:color="000000"/>
              <w:right w:val="single" w:sz="18" w:space="0" w:color="000000"/>
            </w:tcBorders>
            <w:shd w:val="clear" w:color="auto" w:fill="auto"/>
            <w:hideMark/>
          </w:tcPr>
          <w:p w:rsidR="0082434B" w:rsidRPr="003D17ED" w:rsidRDefault="0082434B" w:rsidP="00563364">
            <w:pPr>
              <w:autoSpaceDE w:val="0"/>
              <w:autoSpaceDN w:val="0"/>
              <w:adjustRightInd w:val="0"/>
              <w:rPr>
                <w:rFonts w:eastAsia="MS Mincho"/>
                <w:b/>
                <w:bCs/>
              </w:rPr>
            </w:pPr>
            <w:r w:rsidRPr="003D17ED">
              <w:rPr>
                <w:rFonts w:eastAsia="MS Mincho"/>
                <w:b/>
                <w:bCs/>
              </w:rPr>
              <w:t>Major Multiple Fracture (IGC 08.4)</w:t>
            </w:r>
          </w:p>
        </w:tc>
        <w:tc>
          <w:tcPr>
            <w:tcW w:w="703" w:type="pct"/>
            <w:tcBorders>
              <w:left w:val="single" w:sz="18" w:space="0" w:color="000000"/>
              <w:bottom w:val="single" w:sz="18" w:space="0" w:color="000000"/>
            </w:tcBorders>
            <w:shd w:val="clear" w:color="auto" w:fill="auto"/>
            <w:vAlign w:val="center"/>
            <w:hideMark/>
          </w:tcPr>
          <w:p w:rsidR="0082434B" w:rsidRPr="003D17ED" w:rsidRDefault="0082434B" w:rsidP="00563364">
            <w:pPr>
              <w:autoSpaceDE w:val="0"/>
              <w:autoSpaceDN w:val="0"/>
              <w:adjustRightInd w:val="0"/>
              <w:jc w:val="center"/>
              <w:rPr>
                <w:rFonts w:eastAsia="MS Mincho"/>
              </w:rPr>
            </w:pPr>
            <w:r w:rsidRPr="003D17ED">
              <w:rPr>
                <w:rFonts w:eastAsia="MS Mincho"/>
              </w:rPr>
              <w:t>1,299</w:t>
            </w:r>
          </w:p>
        </w:tc>
        <w:tc>
          <w:tcPr>
            <w:tcW w:w="1035" w:type="pct"/>
            <w:tcBorders>
              <w:bottom w:val="single" w:sz="18" w:space="0" w:color="000000"/>
              <w:right w:val="single" w:sz="18" w:space="0" w:color="000000"/>
            </w:tcBorders>
            <w:shd w:val="clear" w:color="auto" w:fill="auto"/>
            <w:vAlign w:val="center"/>
            <w:hideMark/>
          </w:tcPr>
          <w:p w:rsidR="0082434B" w:rsidRPr="003D17ED" w:rsidRDefault="0082434B" w:rsidP="00563364">
            <w:pPr>
              <w:autoSpaceDE w:val="0"/>
              <w:autoSpaceDN w:val="0"/>
              <w:adjustRightInd w:val="0"/>
              <w:jc w:val="center"/>
              <w:rPr>
                <w:rFonts w:eastAsia="MS Mincho"/>
              </w:rPr>
            </w:pPr>
            <w:r w:rsidRPr="003D17ED">
              <w:rPr>
                <w:rFonts w:eastAsia="MS Mincho"/>
              </w:rPr>
              <w:t>853 (65.7%)</w:t>
            </w:r>
          </w:p>
        </w:tc>
        <w:tc>
          <w:tcPr>
            <w:tcW w:w="706" w:type="pct"/>
            <w:tcBorders>
              <w:left w:val="single" w:sz="18" w:space="0" w:color="000000"/>
              <w:bottom w:val="single" w:sz="18" w:space="0" w:color="000000"/>
            </w:tcBorders>
            <w:shd w:val="clear" w:color="auto" w:fill="auto"/>
            <w:vAlign w:val="center"/>
            <w:hideMark/>
          </w:tcPr>
          <w:p w:rsidR="0082434B" w:rsidRPr="003D17ED" w:rsidRDefault="0082434B" w:rsidP="00563364">
            <w:pPr>
              <w:autoSpaceDE w:val="0"/>
              <w:autoSpaceDN w:val="0"/>
              <w:adjustRightInd w:val="0"/>
              <w:jc w:val="center"/>
              <w:rPr>
                <w:rFonts w:eastAsia="MS Mincho"/>
              </w:rPr>
            </w:pPr>
            <w:r w:rsidRPr="003D17ED">
              <w:rPr>
                <w:rFonts w:eastAsia="MS Mincho"/>
              </w:rPr>
              <w:t>701</w:t>
            </w:r>
          </w:p>
        </w:tc>
        <w:tc>
          <w:tcPr>
            <w:tcW w:w="973" w:type="pct"/>
            <w:tcBorders>
              <w:bottom w:val="single" w:sz="18" w:space="0" w:color="000000"/>
              <w:right w:val="single" w:sz="18" w:space="0" w:color="000000"/>
            </w:tcBorders>
            <w:shd w:val="clear" w:color="auto" w:fill="auto"/>
            <w:vAlign w:val="center"/>
            <w:hideMark/>
          </w:tcPr>
          <w:p w:rsidR="0082434B" w:rsidRPr="003D17ED" w:rsidRDefault="0082434B" w:rsidP="00563364">
            <w:pPr>
              <w:autoSpaceDE w:val="0"/>
              <w:autoSpaceDN w:val="0"/>
              <w:adjustRightInd w:val="0"/>
              <w:jc w:val="center"/>
              <w:rPr>
                <w:rFonts w:eastAsia="MS Mincho"/>
              </w:rPr>
            </w:pPr>
            <w:r w:rsidRPr="003D17ED">
              <w:rPr>
                <w:rFonts w:eastAsia="MS Mincho"/>
              </w:rPr>
              <w:t>252 (36.0%)</w:t>
            </w:r>
          </w:p>
        </w:tc>
        <w:tc>
          <w:tcPr>
            <w:tcW w:w="868" w:type="pct"/>
            <w:tcBorders>
              <w:left w:val="single" w:sz="18" w:space="0" w:color="000000"/>
              <w:bottom w:val="single" w:sz="18" w:space="0" w:color="000000"/>
              <w:right w:val="single" w:sz="18" w:space="0" w:color="000000"/>
            </w:tcBorders>
            <w:shd w:val="clear" w:color="auto" w:fill="auto"/>
            <w:vAlign w:val="center"/>
          </w:tcPr>
          <w:p w:rsidR="0082434B" w:rsidRPr="003D17ED" w:rsidRDefault="0082434B" w:rsidP="00563364">
            <w:pPr>
              <w:autoSpaceDE w:val="0"/>
              <w:autoSpaceDN w:val="0"/>
              <w:adjustRightInd w:val="0"/>
              <w:jc w:val="center"/>
              <w:rPr>
                <w:rFonts w:eastAsia="MS Mincho"/>
                <w:b/>
                <w:i/>
              </w:rPr>
            </w:pPr>
            <w:r w:rsidRPr="003D17ED">
              <w:rPr>
                <w:rFonts w:eastAsia="MS Mincho"/>
                <w:b/>
                <w:i/>
              </w:rPr>
              <w:t>-29.7%</w:t>
            </w:r>
          </w:p>
        </w:tc>
      </w:tr>
    </w:tbl>
    <w:p w:rsidR="0082434B" w:rsidRPr="00B65FC2" w:rsidRDefault="0082434B" w:rsidP="0082434B">
      <w:pPr>
        <w:autoSpaceDE w:val="0"/>
        <w:autoSpaceDN w:val="0"/>
        <w:adjustRightInd w:val="0"/>
      </w:pPr>
      <w:r w:rsidRPr="00B65FC2">
        <w:t xml:space="preserve">Source: eRehabData®, Medicare discharges for FY 2015 (10/1/2014-9/30/2015) and FY 2016 YTD (10/1/2015 – 6/9/2016) </w:t>
      </w:r>
    </w:p>
    <w:p w:rsidR="0082434B" w:rsidRPr="00B65FC2" w:rsidRDefault="0082434B" w:rsidP="0082434B">
      <w:pPr>
        <w:autoSpaceDE w:val="0"/>
        <w:autoSpaceDN w:val="0"/>
        <w:adjustRightInd w:val="0"/>
      </w:pPr>
    </w:p>
    <w:p w:rsidR="0082434B" w:rsidRPr="00B65FC2" w:rsidRDefault="0082434B" w:rsidP="0082434B">
      <w:pPr>
        <w:autoSpaceDE w:val="0"/>
        <w:autoSpaceDN w:val="0"/>
        <w:adjustRightInd w:val="0"/>
      </w:pPr>
      <w:r>
        <w:t>However, despite the unintended consequences of these coding</w:t>
      </w:r>
      <w:r w:rsidRPr="00B65FC2">
        <w:t xml:space="preserve"> changes which make it harder for IRFs to m</w:t>
      </w:r>
      <w:r>
        <w:t>eet presumptive compliance with the 60% Rule, these providers do not seem to be limiting access to IRF care in the near term by denying access</w:t>
      </w:r>
      <w:r w:rsidRPr="00B65FC2">
        <w:t xml:space="preserve"> to brain injury, hip fracture, or major multiple trauma </w:t>
      </w:r>
      <w:r>
        <w:t>beneficiaries.  The data shown below demonstrates that access to IRF care for these beneficiaries has remained relatively stable since the change in coding.</w:t>
      </w:r>
    </w:p>
    <w:p w:rsidR="0082434B" w:rsidRPr="00B65FC2" w:rsidRDefault="0082434B" w:rsidP="0082434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1474"/>
        <w:gridCol w:w="1909"/>
        <w:gridCol w:w="2004"/>
        <w:gridCol w:w="2118"/>
      </w:tblGrid>
      <w:tr w:rsidR="0082434B" w:rsidRPr="00B65FC2" w:rsidTr="00563364">
        <w:trPr>
          <w:trHeight w:val="900"/>
        </w:trPr>
        <w:tc>
          <w:tcPr>
            <w:tcW w:w="1304" w:type="pct"/>
            <w:tcBorders>
              <w:top w:val="single" w:sz="18" w:space="0" w:color="000000"/>
              <w:left w:val="single" w:sz="18" w:space="0" w:color="000000"/>
              <w:right w:val="single" w:sz="18" w:space="0" w:color="000000"/>
            </w:tcBorders>
            <w:shd w:val="clear" w:color="auto" w:fill="auto"/>
            <w:noWrap/>
            <w:hideMark/>
          </w:tcPr>
          <w:p w:rsidR="0082434B" w:rsidRPr="003D17ED" w:rsidRDefault="0082434B" w:rsidP="00563364">
            <w:pPr>
              <w:rPr>
                <w:rFonts w:eastAsia="MS Mincho"/>
              </w:rPr>
            </w:pPr>
          </w:p>
        </w:tc>
        <w:tc>
          <w:tcPr>
            <w:tcW w:w="726" w:type="pct"/>
            <w:tcBorders>
              <w:top w:val="single" w:sz="18" w:space="0" w:color="000000"/>
              <w:left w:val="single" w:sz="18" w:space="0" w:color="000000"/>
            </w:tcBorders>
            <w:shd w:val="clear" w:color="auto" w:fill="auto"/>
            <w:vAlign w:val="center"/>
            <w:hideMark/>
          </w:tcPr>
          <w:p w:rsidR="0082434B" w:rsidRPr="003D17ED" w:rsidRDefault="0082434B" w:rsidP="00563364">
            <w:pPr>
              <w:jc w:val="center"/>
              <w:rPr>
                <w:rFonts w:eastAsia="MS Mincho"/>
                <w:b/>
              </w:rPr>
            </w:pPr>
            <w:r w:rsidRPr="003D17ED">
              <w:rPr>
                <w:rFonts w:eastAsia="MS Mincho"/>
                <w:b/>
              </w:rPr>
              <w:t>FY15 Discharges</w:t>
            </w:r>
          </w:p>
        </w:tc>
        <w:tc>
          <w:tcPr>
            <w:tcW w:w="940" w:type="pct"/>
            <w:tcBorders>
              <w:top w:val="single" w:sz="18" w:space="0" w:color="000000"/>
              <w:right w:val="single" w:sz="18" w:space="0" w:color="000000"/>
            </w:tcBorders>
            <w:shd w:val="clear" w:color="auto" w:fill="auto"/>
            <w:vAlign w:val="center"/>
          </w:tcPr>
          <w:p w:rsidR="0082434B" w:rsidRPr="003D17ED" w:rsidRDefault="0082434B" w:rsidP="00563364">
            <w:pPr>
              <w:jc w:val="center"/>
              <w:rPr>
                <w:rFonts w:eastAsia="MS Mincho"/>
                <w:b/>
              </w:rPr>
            </w:pPr>
            <w:r w:rsidRPr="003D17ED">
              <w:rPr>
                <w:rFonts w:eastAsia="MS Mincho"/>
                <w:b/>
              </w:rPr>
              <w:t>Percentage of All FY15 Medicare Discharges</w:t>
            </w:r>
          </w:p>
        </w:tc>
        <w:tc>
          <w:tcPr>
            <w:tcW w:w="987" w:type="pct"/>
            <w:tcBorders>
              <w:top w:val="single" w:sz="18" w:space="0" w:color="000000"/>
              <w:left w:val="single" w:sz="18" w:space="0" w:color="000000"/>
            </w:tcBorders>
            <w:shd w:val="clear" w:color="auto" w:fill="auto"/>
            <w:noWrap/>
            <w:vAlign w:val="center"/>
            <w:hideMark/>
          </w:tcPr>
          <w:p w:rsidR="0082434B" w:rsidRPr="003D17ED" w:rsidRDefault="0082434B" w:rsidP="00563364">
            <w:pPr>
              <w:jc w:val="center"/>
              <w:rPr>
                <w:rFonts w:eastAsia="MS Mincho"/>
                <w:b/>
              </w:rPr>
            </w:pPr>
            <w:r w:rsidRPr="003D17ED">
              <w:rPr>
                <w:rFonts w:eastAsia="MS Mincho"/>
                <w:b/>
              </w:rPr>
              <w:t>FY16 Discharges (YTD)</w:t>
            </w:r>
          </w:p>
        </w:tc>
        <w:tc>
          <w:tcPr>
            <w:tcW w:w="1043" w:type="pct"/>
            <w:tcBorders>
              <w:top w:val="single" w:sz="18" w:space="0" w:color="000000"/>
              <w:right w:val="single" w:sz="18" w:space="0" w:color="000000"/>
            </w:tcBorders>
            <w:shd w:val="clear" w:color="auto" w:fill="auto"/>
            <w:noWrap/>
            <w:vAlign w:val="center"/>
            <w:hideMark/>
          </w:tcPr>
          <w:p w:rsidR="0082434B" w:rsidRPr="003D17ED" w:rsidRDefault="0082434B" w:rsidP="00563364">
            <w:pPr>
              <w:jc w:val="center"/>
              <w:rPr>
                <w:rFonts w:eastAsia="MS Mincho"/>
                <w:b/>
              </w:rPr>
            </w:pPr>
            <w:r w:rsidRPr="003D17ED">
              <w:rPr>
                <w:rFonts w:eastAsia="MS Mincho"/>
                <w:b/>
              </w:rPr>
              <w:t>Percentage of All FY16 Medicare Discharges (YTD)</w:t>
            </w:r>
          </w:p>
        </w:tc>
      </w:tr>
      <w:tr w:rsidR="0082434B" w:rsidRPr="00B65FC2" w:rsidTr="00563364">
        <w:trPr>
          <w:trHeight w:val="300"/>
        </w:trPr>
        <w:tc>
          <w:tcPr>
            <w:tcW w:w="1304" w:type="pct"/>
            <w:tcBorders>
              <w:left w:val="single" w:sz="18" w:space="0" w:color="000000"/>
              <w:right w:val="single" w:sz="18" w:space="0" w:color="000000"/>
            </w:tcBorders>
            <w:shd w:val="clear" w:color="auto" w:fill="auto"/>
            <w:noWrap/>
            <w:vAlign w:val="center"/>
            <w:hideMark/>
          </w:tcPr>
          <w:p w:rsidR="0082434B" w:rsidRPr="003D17ED" w:rsidRDefault="0082434B" w:rsidP="00563364">
            <w:pPr>
              <w:autoSpaceDE w:val="0"/>
              <w:autoSpaceDN w:val="0"/>
              <w:adjustRightInd w:val="0"/>
              <w:rPr>
                <w:rFonts w:eastAsia="MS Mincho"/>
                <w:b/>
                <w:bCs/>
              </w:rPr>
            </w:pPr>
            <w:r w:rsidRPr="003D17ED">
              <w:rPr>
                <w:rFonts w:eastAsia="MS Mincho"/>
                <w:b/>
                <w:bCs/>
              </w:rPr>
              <w:t xml:space="preserve">Brain Injury </w:t>
            </w:r>
          </w:p>
          <w:p w:rsidR="0082434B" w:rsidRPr="003D17ED" w:rsidRDefault="0082434B" w:rsidP="00563364">
            <w:pPr>
              <w:autoSpaceDE w:val="0"/>
              <w:autoSpaceDN w:val="0"/>
              <w:adjustRightInd w:val="0"/>
              <w:rPr>
                <w:rFonts w:eastAsia="MS Mincho"/>
                <w:b/>
                <w:bCs/>
              </w:rPr>
            </w:pPr>
            <w:r w:rsidRPr="003D17ED">
              <w:rPr>
                <w:rFonts w:eastAsia="MS Mincho"/>
                <w:b/>
                <w:bCs/>
              </w:rPr>
              <w:t>(IGCs 2.21, 2.22)</w:t>
            </w:r>
          </w:p>
        </w:tc>
        <w:tc>
          <w:tcPr>
            <w:tcW w:w="726" w:type="pct"/>
            <w:tcBorders>
              <w:left w:val="single" w:sz="18" w:space="0" w:color="000000"/>
            </w:tcBorders>
            <w:shd w:val="clear" w:color="auto" w:fill="auto"/>
            <w:noWrap/>
            <w:vAlign w:val="center"/>
            <w:hideMark/>
          </w:tcPr>
          <w:p w:rsidR="0082434B" w:rsidRPr="003D17ED" w:rsidRDefault="0082434B" w:rsidP="00563364">
            <w:pPr>
              <w:jc w:val="center"/>
              <w:rPr>
                <w:rFonts w:eastAsia="MS Mincho"/>
              </w:rPr>
            </w:pPr>
            <w:r w:rsidRPr="003D17ED">
              <w:rPr>
                <w:rFonts w:eastAsia="MS Mincho"/>
              </w:rPr>
              <w:t>9,235</w:t>
            </w:r>
          </w:p>
        </w:tc>
        <w:tc>
          <w:tcPr>
            <w:tcW w:w="940" w:type="pct"/>
            <w:tcBorders>
              <w:right w:val="single" w:sz="18" w:space="0" w:color="000000"/>
            </w:tcBorders>
            <w:shd w:val="clear" w:color="auto" w:fill="auto"/>
            <w:vAlign w:val="center"/>
          </w:tcPr>
          <w:p w:rsidR="0082434B" w:rsidRPr="003D17ED" w:rsidRDefault="0082434B" w:rsidP="00563364">
            <w:pPr>
              <w:jc w:val="center"/>
              <w:rPr>
                <w:rFonts w:eastAsia="MS Mincho"/>
                <w:b/>
              </w:rPr>
            </w:pPr>
            <w:r w:rsidRPr="003D17ED">
              <w:rPr>
                <w:rFonts w:eastAsia="MS Mincho"/>
                <w:b/>
              </w:rPr>
              <w:t>6.87%</w:t>
            </w:r>
          </w:p>
        </w:tc>
        <w:tc>
          <w:tcPr>
            <w:tcW w:w="987" w:type="pct"/>
            <w:tcBorders>
              <w:left w:val="single" w:sz="18" w:space="0" w:color="000000"/>
            </w:tcBorders>
            <w:shd w:val="clear" w:color="auto" w:fill="auto"/>
            <w:noWrap/>
            <w:vAlign w:val="center"/>
            <w:hideMark/>
          </w:tcPr>
          <w:p w:rsidR="0082434B" w:rsidRPr="003D17ED" w:rsidRDefault="0082434B" w:rsidP="00563364">
            <w:pPr>
              <w:jc w:val="center"/>
              <w:rPr>
                <w:rFonts w:eastAsia="MS Mincho"/>
              </w:rPr>
            </w:pPr>
            <w:r w:rsidRPr="003D17ED">
              <w:rPr>
                <w:rFonts w:eastAsia="MS Mincho"/>
              </w:rPr>
              <w:t>5,368</w:t>
            </w:r>
          </w:p>
        </w:tc>
        <w:tc>
          <w:tcPr>
            <w:tcW w:w="1043" w:type="pct"/>
            <w:tcBorders>
              <w:right w:val="single" w:sz="18" w:space="0" w:color="000000"/>
            </w:tcBorders>
            <w:shd w:val="clear" w:color="auto" w:fill="auto"/>
            <w:noWrap/>
            <w:vAlign w:val="center"/>
            <w:hideMark/>
          </w:tcPr>
          <w:p w:rsidR="0082434B" w:rsidRPr="003D17ED" w:rsidRDefault="0082434B" w:rsidP="00563364">
            <w:pPr>
              <w:jc w:val="center"/>
              <w:rPr>
                <w:rFonts w:eastAsia="MS Mincho"/>
                <w:b/>
              </w:rPr>
            </w:pPr>
            <w:r w:rsidRPr="003D17ED">
              <w:rPr>
                <w:rFonts w:eastAsia="MS Mincho"/>
                <w:b/>
              </w:rPr>
              <w:t>6.91%</w:t>
            </w:r>
          </w:p>
        </w:tc>
      </w:tr>
      <w:tr w:rsidR="0082434B" w:rsidRPr="00B65FC2" w:rsidTr="00563364">
        <w:trPr>
          <w:trHeight w:val="300"/>
        </w:trPr>
        <w:tc>
          <w:tcPr>
            <w:tcW w:w="1304" w:type="pct"/>
            <w:tcBorders>
              <w:left w:val="single" w:sz="18" w:space="0" w:color="000000"/>
              <w:right w:val="single" w:sz="18" w:space="0" w:color="000000"/>
            </w:tcBorders>
            <w:shd w:val="clear" w:color="auto" w:fill="auto"/>
            <w:noWrap/>
            <w:vAlign w:val="center"/>
            <w:hideMark/>
          </w:tcPr>
          <w:p w:rsidR="0082434B" w:rsidRPr="003D17ED" w:rsidRDefault="0082434B" w:rsidP="00563364">
            <w:pPr>
              <w:autoSpaceDE w:val="0"/>
              <w:autoSpaceDN w:val="0"/>
              <w:adjustRightInd w:val="0"/>
              <w:rPr>
                <w:rFonts w:eastAsia="MS Mincho"/>
                <w:b/>
                <w:bCs/>
              </w:rPr>
            </w:pPr>
            <w:r w:rsidRPr="003D17ED">
              <w:rPr>
                <w:rFonts w:eastAsia="MS Mincho"/>
                <w:b/>
                <w:bCs/>
              </w:rPr>
              <w:t xml:space="preserve">Hip Fracture </w:t>
            </w:r>
          </w:p>
          <w:p w:rsidR="0082434B" w:rsidRPr="003D17ED" w:rsidRDefault="0082434B" w:rsidP="00563364">
            <w:pPr>
              <w:autoSpaceDE w:val="0"/>
              <w:autoSpaceDN w:val="0"/>
              <w:adjustRightInd w:val="0"/>
              <w:rPr>
                <w:rFonts w:eastAsia="MS Mincho"/>
                <w:b/>
                <w:bCs/>
              </w:rPr>
            </w:pPr>
            <w:r w:rsidRPr="003D17ED">
              <w:rPr>
                <w:rFonts w:eastAsia="MS Mincho"/>
                <w:b/>
                <w:bCs/>
              </w:rPr>
              <w:t>(IGC 08.11)</w:t>
            </w:r>
          </w:p>
        </w:tc>
        <w:tc>
          <w:tcPr>
            <w:tcW w:w="726" w:type="pct"/>
            <w:tcBorders>
              <w:left w:val="single" w:sz="18" w:space="0" w:color="000000"/>
            </w:tcBorders>
            <w:shd w:val="clear" w:color="auto" w:fill="auto"/>
            <w:noWrap/>
            <w:vAlign w:val="center"/>
            <w:hideMark/>
          </w:tcPr>
          <w:p w:rsidR="0082434B" w:rsidRPr="003D17ED" w:rsidRDefault="0082434B" w:rsidP="00563364">
            <w:pPr>
              <w:jc w:val="center"/>
              <w:rPr>
                <w:rFonts w:eastAsia="MS Mincho"/>
              </w:rPr>
            </w:pPr>
            <w:r w:rsidRPr="003D17ED">
              <w:rPr>
                <w:rFonts w:eastAsia="MS Mincho"/>
              </w:rPr>
              <w:t>16,421</w:t>
            </w:r>
          </w:p>
        </w:tc>
        <w:tc>
          <w:tcPr>
            <w:tcW w:w="940" w:type="pct"/>
            <w:tcBorders>
              <w:right w:val="single" w:sz="18" w:space="0" w:color="000000"/>
            </w:tcBorders>
            <w:shd w:val="clear" w:color="auto" w:fill="auto"/>
            <w:vAlign w:val="center"/>
          </w:tcPr>
          <w:p w:rsidR="0082434B" w:rsidRPr="003D17ED" w:rsidRDefault="0082434B" w:rsidP="00563364">
            <w:pPr>
              <w:jc w:val="center"/>
              <w:rPr>
                <w:rFonts w:eastAsia="MS Mincho"/>
                <w:b/>
              </w:rPr>
            </w:pPr>
            <w:r w:rsidRPr="003D17ED">
              <w:rPr>
                <w:rFonts w:eastAsia="MS Mincho"/>
                <w:b/>
              </w:rPr>
              <w:t>12.22%</w:t>
            </w:r>
          </w:p>
        </w:tc>
        <w:tc>
          <w:tcPr>
            <w:tcW w:w="987" w:type="pct"/>
            <w:tcBorders>
              <w:left w:val="single" w:sz="18" w:space="0" w:color="000000"/>
            </w:tcBorders>
            <w:shd w:val="clear" w:color="auto" w:fill="auto"/>
            <w:noWrap/>
            <w:vAlign w:val="center"/>
            <w:hideMark/>
          </w:tcPr>
          <w:p w:rsidR="0082434B" w:rsidRPr="003D17ED" w:rsidRDefault="0082434B" w:rsidP="00563364">
            <w:pPr>
              <w:jc w:val="center"/>
              <w:rPr>
                <w:rFonts w:eastAsia="MS Mincho"/>
              </w:rPr>
            </w:pPr>
            <w:r w:rsidRPr="003D17ED">
              <w:rPr>
                <w:rFonts w:eastAsia="MS Mincho"/>
              </w:rPr>
              <w:t>8,979</w:t>
            </w:r>
          </w:p>
        </w:tc>
        <w:tc>
          <w:tcPr>
            <w:tcW w:w="1043" w:type="pct"/>
            <w:tcBorders>
              <w:right w:val="single" w:sz="18" w:space="0" w:color="000000"/>
            </w:tcBorders>
            <w:shd w:val="clear" w:color="auto" w:fill="auto"/>
            <w:noWrap/>
            <w:vAlign w:val="center"/>
            <w:hideMark/>
          </w:tcPr>
          <w:p w:rsidR="0082434B" w:rsidRPr="003D17ED" w:rsidRDefault="0082434B" w:rsidP="00563364">
            <w:pPr>
              <w:jc w:val="center"/>
              <w:rPr>
                <w:rFonts w:eastAsia="MS Mincho"/>
                <w:b/>
              </w:rPr>
            </w:pPr>
            <w:r w:rsidRPr="003D17ED">
              <w:rPr>
                <w:rFonts w:eastAsia="MS Mincho"/>
                <w:b/>
              </w:rPr>
              <w:t>11.56%</w:t>
            </w:r>
          </w:p>
        </w:tc>
      </w:tr>
      <w:tr w:rsidR="0082434B" w:rsidRPr="00B65FC2" w:rsidTr="00563364">
        <w:trPr>
          <w:trHeight w:val="300"/>
        </w:trPr>
        <w:tc>
          <w:tcPr>
            <w:tcW w:w="1304" w:type="pct"/>
            <w:tcBorders>
              <w:left w:val="single" w:sz="18" w:space="0" w:color="000000"/>
              <w:bottom w:val="single" w:sz="18" w:space="0" w:color="000000"/>
              <w:right w:val="single" w:sz="18" w:space="0" w:color="000000"/>
            </w:tcBorders>
            <w:shd w:val="clear" w:color="auto" w:fill="auto"/>
            <w:noWrap/>
            <w:vAlign w:val="center"/>
            <w:hideMark/>
          </w:tcPr>
          <w:p w:rsidR="0082434B" w:rsidRPr="003D17ED" w:rsidRDefault="0082434B" w:rsidP="00563364">
            <w:pPr>
              <w:autoSpaceDE w:val="0"/>
              <w:autoSpaceDN w:val="0"/>
              <w:adjustRightInd w:val="0"/>
              <w:rPr>
                <w:rFonts w:eastAsia="MS Mincho"/>
                <w:b/>
                <w:bCs/>
              </w:rPr>
            </w:pPr>
            <w:r w:rsidRPr="003D17ED">
              <w:rPr>
                <w:rFonts w:eastAsia="MS Mincho"/>
                <w:b/>
                <w:bCs/>
              </w:rPr>
              <w:t>Major Multiple Fracture (IGC 08.4)</w:t>
            </w:r>
          </w:p>
        </w:tc>
        <w:tc>
          <w:tcPr>
            <w:tcW w:w="726" w:type="pct"/>
            <w:tcBorders>
              <w:left w:val="single" w:sz="18" w:space="0" w:color="000000"/>
              <w:bottom w:val="single" w:sz="18" w:space="0" w:color="000000"/>
            </w:tcBorders>
            <w:shd w:val="clear" w:color="auto" w:fill="auto"/>
            <w:noWrap/>
            <w:vAlign w:val="center"/>
            <w:hideMark/>
          </w:tcPr>
          <w:p w:rsidR="0082434B" w:rsidRPr="003D17ED" w:rsidRDefault="0082434B" w:rsidP="00563364">
            <w:pPr>
              <w:jc w:val="center"/>
              <w:rPr>
                <w:rFonts w:eastAsia="MS Mincho"/>
              </w:rPr>
            </w:pPr>
            <w:r w:rsidRPr="003D17ED">
              <w:rPr>
                <w:rFonts w:eastAsia="MS Mincho"/>
              </w:rPr>
              <w:t>3,170</w:t>
            </w:r>
          </w:p>
        </w:tc>
        <w:tc>
          <w:tcPr>
            <w:tcW w:w="940" w:type="pct"/>
            <w:tcBorders>
              <w:bottom w:val="single" w:sz="18" w:space="0" w:color="000000"/>
              <w:right w:val="single" w:sz="18" w:space="0" w:color="000000"/>
            </w:tcBorders>
            <w:shd w:val="clear" w:color="auto" w:fill="auto"/>
            <w:vAlign w:val="center"/>
          </w:tcPr>
          <w:p w:rsidR="0082434B" w:rsidRPr="003D17ED" w:rsidRDefault="0082434B" w:rsidP="00563364">
            <w:pPr>
              <w:jc w:val="center"/>
              <w:rPr>
                <w:rFonts w:eastAsia="MS Mincho"/>
                <w:b/>
              </w:rPr>
            </w:pPr>
            <w:r w:rsidRPr="003D17ED">
              <w:rPr>
                <w:rFonts w:eastAsia="MS Mincho"/>
                <w:b/>
              </w:rPr>
              <w:t>2.36%</w:t>
            </w:r>
          </w:p>
        </w:tc>
        <w:tc>
          <w:tcPr>
            <w:tcW w:w="987" w:type="pct"/>
            <w:tcBorders>
              <w:left w:val="single" w:sz="18" w:space="0" w:color="000000"/>
              <w:bottom w:val="single" w:sz="18" w:space="0" w:color="000000"/>
            </w:tcBorders>
            <w:shd w:val="clear" w:color="auto" w:fill="auto"/>
            <w:noWrap/>
            <w:vAlign w:val="center"/>
            <w:hideMark/>
          </w:tcPr>
          <w:p w:rsidR="0082434B" w:rsidRPr="003D17ED" w:rsidRDefault="0082434B" w:rsidP="00563364">
            <w:pPr>
              <w:jc w:val="center"/>
              <w:rPr>
                <w:rFonts w:eastAsia="MS Mincho"/>
              </w:rPr>
            </w:pPr>
            <w:r w:rsidRPr="003D17ED">
              <w:rPr>
                <w:rFonts w:eastAsia="MS Mincho"/>
              </w:rPr>
              <w:t>1,722</w:t>
            </w:r>
          </w:p>
        </w:tc>
        <w:tc>
          <w:tcPr>
            <w:tcW w:w="1043" w:type="pct"/>
            <w:tcBorders>
              <w:bottom w:val="single" w:sz="18" w:space="0" w:color="000000"/>
              <w:right w:val="single" w:sz="18" w:space="0" w:color="000000"/>
            </w:tcBorders>
            <w:shd w:val="clear" w:color="auto" w:fill="auto"/>
            <w:noWrap/>
            <w:vAlign w:val="center"/>
            <w:hideMark/>
          </w:tcPr>
          <w:p w:rsidR="0082434B" w:rsidRPr="003D17ED" w:rsidRDefault="0082434B" w:rsidP="00563364">
            <w:pPr>
              <w:jc w:val="center"/>
              <w:rPr>
                <w:rFonts w:eastAsia="MS Mincho"/>
                <w:b/>
              </w:rPr>
            </w:pPr>
            <w:r w:rsidRPr="003D17ED">
              <w:rPr>
                <w:rFonts w:eastAsia="MS Mincho"/>
                <w:b/>
              </w:rPr>
              <w:t>2.22%</w:t>
            </w:r>
          </w:p>
        </w:tc>
      </w:tr>
    </w:tbl>
    <w:p w:rsidR="0082434B" w:rsidRPr="00B65FC2" w:rsidRDefault="0082434B" w:rsidP="0082434B">
      <w:pPr>
        <w:autoSpaceDE w:val="0"/>
        <w:autoSpaceDN w:val="0"/>
        <w:adjustRightInd w:val="0"/>
      </w:pPr>
      <w:r w:rsidRPr="00B65FC2">
        <w:t>Source: eRehabData®. Medicare discharges for FY 2015 and FY 2016 YTD (10/1/2015 – 6/9/2016).</w:t>
      </w:r>
    </w:p>
    <w:p w:rsidR="0082434B" w:rsidRPr="00B65FC2" w:rsidRDefault="0082434B" w:rsidP="0082434B">
      <w:pPr>
        <w:autoSpaceDE w:val="0"/>
        <w:autoSpaceDN w:val="0"/>
        <w:adjustRightInd w:val="0"/>
      </w:pPr>
    </w:p>
    <w:p w:rsidR="0082434B" w:rsidRDefault="0082434B" w:rsidP="0082434B">
      <w:pPr>
        <w:autoSpaceDE w:val="0"/>
        <w:autoSpaceDN w:val="0"/>
        <w:adjustRightInd w:val="0"/>
      </w:pPr>
      <w:r>
        <w:t>Despite these unintended restrictions in access to IRF care, beneficiaries do not yet appear to have felt the impact of these coding changes.  However, the Coalition to Preserve Rehabilitation is seriously concerned that IRFs may, over time, be forced to tighten access to an IRF level of care to these beneficiaries because of the unintended consequences of this coding transition.  The current treatment of these brain injury, hip fracture and major multiple fracture codes creates barriers to access to IRF care that, we believe, must be corrected by CMS in the final rule.  CPR</w:t>
      </w:r>
      <w:r w:rsidRPr="00B65FC2">
        <w:t xml:space="preserve"> respectfully impresses upon CMS that any further delay in resolving these issues going forward may bring harm to </w:t>
      </w:r>
      <w:r>
        <w:t xml:space="preserve">beneficiaries </w:t>
      </w:r>
      <w:r w:rsidRPr="00B65FC2">
        <w:t xml:space="preserve">in terms of potential barriers to access. </w:t>
      </w:r>
    </w:p>
    <w:p w:rsidR="0082434B" w:rsidRDefault="0082434B" w:rsidP="0082434B">
      <w:pPr>
        <w:autoSpaceDE w:val="0"/>
        <w:autoSpaceDN w:val="0"/>
        <w:adjustRightInd w:val="0"/>
      </w:pPr>
    </w:p>
    <w:p w:rsidR="0082434B" w:rsidRPr="00B65FC2" w:rsidRDefault="0082434B" w:rsidP="0082434B">
      <w:pPr>
        <w:autoSpaceDE w:val="0"/>
        <w:autoSpaceDN w:val="0"/>
        <w:adjustRightInd w:val="0"/>
      </w:pPr>
      <w:r>
        <w:t xml:space="preserve">CPR strongly urges CMS to explicitly clarify in the final rule the ICD-10 codes that will precisely mirror the ICD-9 codes that were phased out, in order to maintain equal access to IRF care for these beneficiaries and eliminate the unintended consequences of the coding conversion.  Further, we ask CMS to apply this clarification retroactively to October 1, 2015.  </w:t>
      </w:r>
    </w:p>
    <w:p w:rsidR="0082434B" w:rsidRPr="00B65FC2" w:rsidRDefault="0082434B" w:rsidP="0082434B">
      <w:pPr>
        <w:autoSpaceDE w:val="0"/>
        <w:autoSpaceDN w:val="0"/>
        <w:adjustRightInd w:val="0"/>
      </w:pPr>
    </w:p>
    <w:p w:rsidR="00D52B3B" w:rsidRPr="00ED2721" w:rsidRDefault="00401772" w:rsidP="00D52B3B">
      <w:pPr>
        <w:shd w:val="clear" w:color="auto" w:fill="FFFFFF"/>
        <w:rPr>
          <w:b/>
          <w:u w:val="single"/>
        </w:rPr>
      </w:pPr>
      <w:r>
        <w:rPr>
          <w:b/>
          <w:u w:val="single"/>
        </w:rPr>
        <w:t>Medicare PAC</w:t>
      </w:r>
      <w:r w:rsidR="00D52B3B" w:rsidRPr="00ED2721">
        <w:rPr>
          <w:b/>
          <w:u w:val="single"/>
        </w:rPr>
        <w:t xml:space="preserve"> Reform Requires Serious Deliberation and Reliable Data</w:t>
      </w:r>
    </w:p>
    <w:p w:rsidR="00F92446" w:rsidRPr="00ED2721" w:rsidRDefault="00D52B3B" w:rsidP="00D52B3B">
      <w:pPr>
        <w:shd w:val="clear" w:color="auto" w:fill="FFFFFF"/>
      </w:pPr>
      <w:r w:rsidRPr="00ED2721">
        <w:t xml:space="preserve">All Medicare post-acute care </w:t>
      </w:r>
      <w:r w:rsidR="00401772">
        <w:t xml:space="preserve">(PAC) </w:t>
      </w:r>
      <w:r w:rsidRPr="00ED2721">
        <w:t xml:space="preserve">reforms that </w:t>
      </w:r>
      <w:r w:rsidR="00F92446" w:rsidRPr="00ED2721">
        <w:t>CMS</w:t>
      </w:r>
      <w:r w:rsidRPr="00ED2721">
        <w:t xml:space="preserve"> considers should, first and foremost, preserve access to quality rehabilitation services provided at the appropriate level of intensity, in the right setting, and at the right time to meet the individual needs of Medicare beneficiaries.  This is, of course, much easier said than done.  Meeting this challenge, while making Medicare post-acute care payment policy more efficient, requires serious deliberation and should be based on reliable data </w:t>
      </w:r>
      <w:r w:rsidR="00171483" w:rsidRPr="00ED2721">
        <w:t>that is comparable from one</w:t>
      </w:r>
      <w:r w:rsidR="00F1592F" w:rsidRPr="00ED2721">
        <w:t xml:space="preserve"> post-acute care (PAC) </w:t>
      </w:r>
      <w:r w:rsidRPr="00ED2721">
        <w:t xml:space="preserve">setting </w:t>
      </w:r>
      <w:r w:rsidR="00401772">
        <w:t>to another.  Standardized</w:t>
      </w:r>
      <w:r w:rsidRPr="00ED2721">
        <w:t xml:space="preserve"> data need to be collected across a variety of PAC settings with a major emphasis on appropriate quality standards and risk adjustment to protect </w:t>
      </w:r>
      <w:r w:rsidR="005D726C">
        <w:t>beneficiaries</w:t>
      </w:r>
      <w:r w:rsidRPr="00ED2721">
        <w:t xml:space="preserve"> against underse</w:t>
      </w:r>
      <w:r w:rsidR="00171483" w:rsidRPr="00ED2721">
        <w:t xml:space="preserve">rvice.  Implementation of the </w:t>
      </w:r>
      <w:r w:rsidR="00463089" w:rsidRPr="00ED2721">
        <w:t>IMPACT</w:t>
      </w:r>
      <w:r w:rsidRPr="00ED2721">
        <w:t xml:space="preserve"> Act</w:t>
      </w:r>
      <w:r w:rsidR="00401772">
        <w:t xml:space="preserve"> is beginning to serve</w:t>
      </w:r>
      <w:r w:rsidRPr="00ED2721">
        <w:t xml:space="preserve"> </w:t>
      </w:r>
      <w:r w:rsidR="00171483" w:rsidRPr="00ED2721">
        <w:t>this data collection purpose.</w:t>
      </w:r>
      <w:r w:rsidRPr="00ED2721">
        <w:t xml:space="preserve">  </w:t>
      </w:r>
    </w:p>
    <w:p w:rsidR="003E39B8" w:rsidRPr="00ED2721" w:rsidRDefault="003E39B8" w:rsidP="00D52B3B">
      <w:pPr>
        <w:shd w:val="clear" w:color="auto" w:fill="FFFFFF"/>
      </w:pPr>
    </w:p>
    <w:p w:rsidR="00F1592F" w:rsidRPr="00ED2721" w:rsidRDefault="00463089" w:rsidP="00D52B3B">
      <w:pPr>
        <w:shd w:val="clear" w:color="auto" w:fill="FFFFFF"/>
        <w:rPr>
          <w:rFonts w:eastAsia="Calibri"/>
        </w:rPr>
      </w:pPr>
      <w:r w:rsidRPr="00ED2721">
        <w:rPr>
          <w:rFonts w:eastAsia="Calibri"/>
        </w:rPr>
        <w:t>CPR</w:t>
      </w:r>
      <w:r w:rsidR="003E39B8" w:rsidRPr="00ED2721">
        <w:rPr>
          <w:rFonts w:eastAsia="Calibri"/>
        </w:rPr>
        <w:t xml:space="preserve"> favor</w:t>
      </w:r>
      <w:r w:rsidRPr="00ED2721">
        <w:rPr>
          <w:rFonts w:eastAsia="Calibri"/>
        </w:rPr>
        <w:t>s</w:t>
      </w:r>
      <w:r w:rsidR="00171483" w:rsidRPr="00ED2721">
        <w:rPr>
          <w:rFonts w:eastAsia="Calibri"/>
        </w:rPr>
        <w:t xml:space="preserve"> payment and delivery models that are </w:t>
      </w:r>
      <w:r w:rsidR="003E39B8" w:rsidRPr="00ED2721">
        <w:rPr>
          <w:rFonts w:eastAsia="Calibri"/>
        </w:rPr>
        <w:t>based on sound evidence with fully developed quality measures and risk-adjust</w:t>
      </w:r>
      <w:r w:rsidR="00171483" w:rsidRPr="00ED2721">
        <w:rPr>
          <w:rFonts w:eastAsia="Calibri"/>
        </w:rPr>
        <w:t>ers</w:t>
      </w:r>
      <w:r w:rsidR="003E39B8" w:rsidRPr="00ED2721">
        <w:rPr>
          <w:rFonts w:eastAsia="Calibri"/>
        </w:rPr>
        <w:t xml:space="preserve"> so that </w:t>
      </w:r>
      <w:r w:rsidR="00171483" w:rsidRPr="00ED2721">
        <w:rPr>
          <w:rFonts w:eastAsia="Calibri"/>
        </w:rPr>
        <w:t xml:space="preserve">any </w:t>
      </w:r>
      <w:r w:rsidR="003E39B8" w:rsidRPr="00ED2721">
        <w:rPr>
          <w:rFonts w:eastAsia="Calibri"/>
        </w:rPr>
        <w:t xml:space="preserve">savings </w:t>
      </w:r>
      <w:r w:rsidR="00171483" w:rsidRPr="00ED2721">
        <w:rPr>
          <w:rFonts w:eastAsia="Calibri"/>
        </w:rPr>
        <w:t xml:space="preserve">are achieved through genuine efficiencies, not </w:t>
      </w:r>
      <w:r w:rsidR="003E39B8" w:rsidRPr="00ED2721">
        <w:rPr>
          <w:rFonts w:eastAsia="Calibri"/>
        </w:rPr>
        <w:t xml:space="preserve">achieved by stinting on care.  </w:t>
      </w:r>
      <w:r w:rsidR="00401772">
        <w:rPr>
          <w:rFonts w:eastAsia="Calibri"/>
        </w:rPr>
        <w:t>Implementing the same set of quality measures across PAC settings, as the IMPACT Act requires and the rule proposes, helps facilitate meaningful comparisons between settings of post-acute care.</w:t>
      </w:r>
      <w:r w:rsidR="003E39B8" w:rsidRPr="00ED2721">
        <w:rPr>
          <w:rFonts w:eastAsia="Calibri"/>
        </w:rPr>
        <w:t xml:space="preserve"> </w:t>
      </w:r>
    </w:p>
    <w:p w:rsidR="00F1592F" w:rsidRPr="00ED2721" w:rsidRDefault="00F1592F" w:rsidP="00D52B3B">
      <w:pPr>
        <w:shd w:val="clear" w:color="auto" w:fill="FFFFFF"/>
        <w:rPr>
          <w:rFonts w:eastAsia="Calibri"/>
        </w:rPr>
      </w:pPr>
    </w:p>
    <w:p w:rsidR="007B6977" w:rsidRPr="00ED2721" w:rsidRDefault="00401772" w:rsidP="00D52B3B">
      <w:pPr>
        <w:shd w:val="clear" w:color="auto" w:fill="FFFFFF"/>
        <w:rPr>
          <w:rFonts w:eastAsia="Calibri"/>
        </w:rPr>
      </w:pPr>
      <w:r>
        <w:rPr>
          <w:rFonts w:eastAsia="Calibri"/>
        </w:rPr>
        <w:t xml:space="preserve">Standardized data and quality measures across PAC settings can </w:t>
      </w:r>
      <w:r w:rsidR="003E39B8" w:rsidRPr="00ED2721">
        <w:rPr>
          <w:rFonts w:eastAsia="Calibri"/>
        </w:rPr>
        <w:t>be used to develop a uniform quality assessment instrument to measure outcomes across PAC settings</w:t>
      </w:r>
      <w:r>
        <w:rPr>
          <w:rFonts w:eastAsia="Calibri"/>
        </w:rPr>
        <w:t xml:space="preserve"> and design appropriate risk adjustment methodologies that protect against underserving beneficiaries with the most significant medical and functional needs</w:t>
      </w:r>
      <w:r w:rsidR="00F1592F" w:rsidRPr="00ED2721">
        <w:rPr>
          <w:rFonts w:eastAsia="Calibri"/>
        </w:rPr>
        <w:t>.  S</w:t>
      </w:r>
      <w:r>
        <w:rPr>
          <w:rFonts w:eastAsia="Calibri"/>
        </w:rPr>
        <w:t>uch</w:t>
      </w:r>
      <w:r w:rsidR="003E39B8" w:rsidRPr="00ED2721">
        <w:rPr>
          <w:rFonts w:eastAsia="Calibri"/>
        </w:rPr>
        <w:t xml:space="preserve"> too</w:t>
      </w:r>
      <w:r>
        <w:rPr>
          <w:rFonts w:eastAsia="Calibri"/>
        </w:rPr>
        <w:t>ls</w:t>
      </w:r>
      <w:r w:rsidR="003E39B8" w:rsidRPr="00ED2721">
        <w:rPr>
          <w:rFonts w:eastAsia="Calibri"/>
        </w:rPr>
        <w:t xml:space="preserve"> would be invaluable to </w:t>
      </w:r>
      <w:r w:rsidR="00F1592F" w:rsidRPr="00ED2721">
        <w:rPr>
          <w:rFonts w:eastAsia="Calibri"/>
        </w:rPr>
        <w:t xml:space="preserve">developing and </w:t>
      </w:r>
      <w:r w:rsidR="003E39B8" w:rsidRPr="00ED2721">
        <w:rPr>
          <w:rFonts w:eastAsia="Calibri"/>
        </w:rPr>
        <w:t>enacting PAC reforms</w:t>
      </w:r>
      <w:r w:rsidR="005D726C">
        <w:rPr>
          <w:rFonts w:eastAsia="Calibri"/>
        </w:rPr>
        <w:t xml:space="preserve"> that do not compromise </w:t>
      </w:r>
      <w:r w:rsidR="003E39B8" w:rsidRPr="00ED2721">
        <w:rPr>
          <w:rFonts w:eastAsia="Calibri"/>
        </w:rPr>
        <w:t>care</w:t>
      </w:r>
      <w:r>
        <w:rPr>
          <w:rFonts w:eastAsia="Calibri"/>
        </w:rPr>
        <w:t xml:space="preserve"> for people with disabilities and chronic conditions</w:t>
      </w:r>
      <w:r w:rsidR="003E39B8" w:rsidRPr="00ED2721">
        <w:rPr>
          <w:rFonts w:eastAsia="Calibri"/>
        </w:rPr>
        <w:t xml:space="preserve">.  This is a </w:t>
      </w:r>
      <w:r w:rsidR="003E39B8" w:rsidRPr="00ED2721">
        <w:rPr>
          <w:rFonts w:eastAsia="Calibri"/>
        </w:rPr>
        <w:lastRenderedPageBreak/>
        <w:t>critical step in both adopting appropriate—and sufficiently granular—quality metrics to ensure PAC</w:t>
      </w:r>
      <w:r w:rsidR="005D726C">
        <w:rPr>
          <w:rFonts w:eastAsia="Calibri"/>
        </w:rPr>
        <w:t xml:space="preserve"> beneficiaries</w:t>
      </w:r>
      <w:r w:rsidR="003E39B8" w:rsidRPr="00ED2721">
        <w:rPr>
          <w:rFonts w:eastAsia="Calibri"/>
        </w:rPr>
        <w:t xml:space="preserve"> under a bundled Medic</w:t>
      </w:r>
      <w:r>
        <w:rPr>
          <w:rFonts w:eastAsia="Calibri"/>
        </w:rPr>
        <w:t>are payment system achieve good</w:t>
      </w:r>
      <w:r w:rsidR="003E39B8" w:rsidRPr="00ED2721">
        <w:rPr>
          <w:rFonts w:eastAsia="Calibri"/>
        </w:rPr>
        <w:t xml:space="preserve"> outcomes and </w:t>
      </w:r>
      <w:r>
        <w:rPr>
          <w:rFonts w:eastAsia="Calibri"/>
        </w:rPr>
        <w:t xml:space="preserve">to ensure that </w:t>
      </w:r>
      <w:r w:rsidR="003E39B8" w:rsidRPr="00ED2721">
        <w:rPr>
          <w:rFonts w:eastAsia="Calibri"/>
        </w:rPr>
        <w:t xml:space="preserve">risk adjusters accurately capture the unique needs of individual </w:t>
      </w:r>
      <w:r w:rsidR="005D726C">
        <w:rPr>
          <w:rFonts w:eastAsia="Calibri"/>
        </w:rPr>
        <w:t>beneficiarie</w:t>
      </w:r>
      <w:r w:rsidR="003E39B8" w:rsidRPr="00ED2721">
        <w:rPr>
          <w:rFonts w:eastAsia="Calibri"/>
        </w:rPr>
        <w:t>s.</w:t>
      </w:r>
      <w:r w:rsidR="007B6977" w:rsidRPr="00ED2721">
        <w:rPr>
          <w:rFonts w:eastAsia="Calibri"/>
        </w:rPr>
        <w:t xml:space="preserve">  </w:t>
      </w:r>
    </w:p>
    <w:p w:rsidR="007B6977" w:rsidRPr="00ED2721" w:rsidRDefault="007B6977" w:rsidP="00D52B3B">
      <w:pPr>
        <w:shd w:val="clear" w:color="auto" w:fill="FFFFFF"/>
        <w:rPr>
          <w:rFonts w:eastAsia="Calibri"/>
        </w:rPr>
      </w:pPr>
    </w:p>
    <w:p w:rsidR="00D52B3B" w:rsidRPr="00ED2721" w:rsidRDefault="007B6977" w:rsidP="00D52B3B">
      <w:pPr>
        <w:shd w:val="clear" w:color="auto" w:fill="FFFFFF"/>
      </w:pPr>
      <w:r w:rsidRPr="00ED2721">
        <w:rPr>
          <w:rFonts w:eastAsia="Calibri"/>
        </w:rPr>
        <w:t xml:space="preserve">Until these and other </w:t>
      </w:r>
      <w:r w:rsidR="005D726C">
        <w:rPr>
          <w:rFonts w:eastAsia="Calibri"/>
        </w:rPr>
        <w:t>beneficiary</w:t>
      </w:r>
      <w:r w:rsidRPr="00ED2721">
        <w:rPr>
          <w:rFonts w:eastAsia="Calibri"/>
        </w:rPr>
        <w:t xml:space="preserve"> protections are in place, we do not support </w:t>
      </w:r>
      <w:r w:rsidR="00F1592F" w:rsidRPr="00ED2721">
        <w:rPr>
          <w:rFonts w:eastAsia="Calibri"/>
        </w:rPr>
        <w:t xml:space="preserve">regulating or </w:t>
      </w:r>
      <w:r w:rsidRPr="00ED2721">
        <w:rPr>
          <w:rFonts w:eastAsia="Calibri"/>
        </w:rPr>
        <w:t xml:space="preserve">legislating PAC </w:t>
      </w:r>
      <w:r w:rsidR="00F1592F" w:rsidRPr="00ED2721">
        <w:rPr>
          <w:rFonts w:eastAsia="Calibri"/>
        </w:rPr>
        <w:t xml:space="preserve">reforms that bundle episodes of care, impose financial incentives to treat </w:t>
      </w:r>
      <w:r w:rsidR="005D726C">
        <w:rPr>
          <w:rFonts w:eastAsia="Calibri"/>
        </w:rPr>
        <w:t>beneficiarie</w:t>
      </w:r>
      <w:r w:rsidR="00F1592F" w:rsidRPr="00ED2721">
        <w:rPr>
          <w:rFonts w:eastAsia="Calibri"/>
        </w:rPr>
        <w:t xml:space="preserve">s in the least intensive setting, or otherwise limit rehabilitation benefits under the Medicare program.  </w:t>
      </w:r>
      <w:r w:rsidRPr="00ED2721">
        <w:t xml:space="preserve">Therefore, </w:t>
      </w:r>
      <w:r w:rsidR="00F1592F" w:rsidRPr="00ED2721">
        <w:t xml:space="preserve">we thank CMS for refraining from proposing PAC policies through regulation that are simply not well developed at this stage.  </w:t>
      </w:r>
    </w:p>
    <w:p w:rsidR="006B792C" w:rsidRPr="00ED2721" w:rsidRDefault="006B792C" w:rsidP="00D52B3B">
      <w:pPr>
        <w:shd w:val="clear" w:color="auto" w:fill="FFFFFF"/>
      </w:pPr>
    </w:p>
    <w:p w:rsidR="00AB1436" w:rsidRPr="00ED2721" w:rsidRDefault="00041EC5" w:rsidP="00AB1436">
      <w:pPr>
        <w:shd w:val="clear" w:color="auto" w:fill="FFFFFF"/>
        <w:rPr>
          <w:b/>
          <w:bCs/>
          <w:u w:val="single"/>
        </w:rPr>
      </w:pPr>
      <w:r w:rsidRPr="00ED2721">
        <w:rPr>
          <w:b/>
          <w:bCs/>
          <w:u w:val="single"/>
        </w:rPr>
        <w:t>Meaningful</w:t>
      </w:r>
      <w:r w:rsidR="00AE71DD" w:rsidRPr="00ED2721">
        <w:rPr>
          <w:b/>
          <w:bCs/>
          <w:u w:val="single"/>
        </w:rPr>
        <w:t xml:space="preserve"> </w:t>
      </w:r>
      <w:r w:rsidR="006B792C" w:rsidRPr="00ED2721">
        <w:rPr>
          <w:b/>
          <w:bCs/>
          <w:u w:val="single"/>
        </w:rPr>
        <w:t>Quality Measures</w:t>
      </w:r>
      <w:r w:rsidR="00AE71DD" w:rsidRPr="00ED2721">
        <w:rPr>
          <w:b/>
          <w:bCs/>
          <w:u w:val="single"/>
        </w:rPr>
        <w:t xml:space="preserve"> Needed</w:t>
      </w:r>
    </w:p>
    <w:p w:rsidR="0082434B" w:rsidRDefault="0082434B" w:rsidP="0082434B">
      <w:pPr>
        <w:pStyle w:val="NormalWeb"/>
        <w:spacing w:before="0" w:beforeAutospacing="0" w:after="0" w:afterAutospacing="0"/>
      </w:pPr>
      <w:r w:rsidRPr="00ED2721">
        <w:t>To satisfy requirements of the IMPACT ACT, CMS proposes to add five new measu</w:t>
      </w:r>
      <w:r>
        <w:t>res to IRF QRP public reporting to complement those measures already in place:</w:t>
      </w:r>
    </w:p>
    <w:p w:rsidR="0082434B" w:rsidRPr="00ED2721" w:rsidRDefault="0082434B" w:rsidP="0082434B">
      <w:pPr>
        <w:pStyle w:val="NormalWeb"/>
        <w:spacing w:before="0" w:beforeAutospacing="0" w:after="0" w:afterAutospacing="0"/>
      </w:pPr>
    </w:p>
    <w:p w:rsidR="0082434B" w:rsidRPr="00ED2721" w:rsidRDefault="0082434B" w:rsidP="0082434B">
      <w:pPr>
        <w:pStyle w:val="NormalWeb"/>
        <w:numPr>
          <w:ilvl w:val="0"/>
          <w:numId w:val="30"/>
        </w:numPr>
        <w:spacing w:before="0" w:beforeAutospacing="0" w:after="0" w:afterAutospacing="0"/>
      </w:pPr>
      <w:r w:rsidRPr="00ED2721">
        <w:t>Medicare Spending Per Beneficiary-post-acute care (MSPB-PAC) IRF QRP (claims-based);</w:t>
      </w:r>
    </w:p>
    <w:p w:rsidR="0082434B" w:rsidRDefault="0082434B" w:rsidP="0082434B">
      <w:pPr>
        <w:pStyle w:val="NormalWeb"/>
        <w:numPr>
          <w:ilvl w:val="0"/>
          <w:numId w:val="30"/>
        </w:numPr>
        <w:spacing w:before="0" w:beforeAutospacing="0" w:after="0" w:afterAutospacing="0"/>
      </w:pPr>
      <w:r w:rsidRPr="00ED2721">
        <w:t xml:space="preserve">Discharge to Community-PAC IRF QRP (claims-based); </w:t>
      </w:r>
    </w:p>
    <w:p w:rsidR="0082434B" w:rsidRDefault="0082434B" w:rsidP="0082434B">
      <w:pPr>
        <w:pStyle w:val="NormalWeb"/>
        <w:numPr>
          <w:ilvl w:val="0"/>
          <w:numId w:val="30"/>
        </w:numPr>
        <w:spacing w:before="0" w:beforeAutospacing="0" w:after="0" w:afterAutospacing="0"/>
      </w:pPr>
      <w:r w:rsidRPr="00ED2721">
        <w:t>Potentially Preventable 30-Day Post-Discharge Readmission Measure for IRF QRP (claims-based);</w:t>
      </w:r>
    </w:p>
    <w:p w:rsidR="0082434B" w:rsidRDefault="0082434B" w:rsidP="0082434B">
      <w:pPr>
        <w:pStyle w:val="NormalWeb"/>
        <w:numPr>
          <w:ilvl w:val="0"/>
          <w:numId w:val="30"/>
        </w:numPr>
        <w:spacing w:before="0" w:beforeAutospacing="0" w:after="0" w:afterAutospacing="0"/>
      </w:pPr>
      <w:r w:rsidRPr="00ED2721">
        <w:t xml:space="preserve">Potentially Preventable Within Stay Readmission Measure for IRFs (claims-based); and </w:t>
      </w:r>
    </w:p>
    <w:p w:rsidR="0082434B" w:rsidRDefault="00482504" w:rsidP="0082434B">
      <w:pPr>
        <w:pStyle w:val="NormalWeb"/>
        <w:numPr>
          <w:ilvl w:val="0"/>
          <w:numId w:val="30"/>
        </w:numPr>
        <w:spacing w:before="0" w:beforeAutospacing="0" w:after="0" w:afterAutospacing="0"/>
      </w:pPr>
      <w:r>
        <w:t>Drug Regimen</w:t>
      </w:r>
      <w:r w:rsidR="0082434B" w:rsidRPr="00ED2721">
        <w:t xml:space="preserve"> Review Conducted with Follow-Up for Identified Issues (assessment-based)</w:t>
      </w:r>
    </w:p>
    <w:p w:rsidR="0082434B" w:rsidRDefault="0082434B" w:rsidP="00AB1436">
      <w:pPr>
        <w:shd w:val="clear" w:color="auto" w:fill="FFFFFF"/>
        <w:rPr>
          <w:bCs/>
        </w:rPr>
      </w:pPr>
    </w:p>
    <w:p w:rsidR="0082434B" w:rsidRDefault="0082434B" w:rsidP="00AB1436">
      <w:pPr>
        <w:shd w:val="clear" w:color="auto" w:fill="FFFFFF"/>
        <w:rPr>
          <w:bCs/>
        </w:rPr>
      </w:pPr>
      <w:r>
        <w:rPr>
          <w:bCs/>
        </w:rPr>
        <w:t xml:space="preserve">We acknowledge the importance of these added measures, especially the measure that assesses the percentage of patients discharged from PAC settings into the community.  Many of the measures being implemented in the PAC setting are process measures, and those that are more akin to outcome measures are fairly rudimentary.  CPR </w:t>
      </w:r>
      <w:r w:rsidR="006B792C" w:rsidRPr="00ED2721">
        <w:rPr>
          <w:bCs/>
        </w:rPr>
        <w:t xml:space="preserve">favors quality measures in PAC </w:t>
      </w:r>
      <w:r w:rsidR="00AE71DD" w:rsidRPr="00ED2721">
        <w:rPr>
          <w:bCs/>
        </w:rPr>
        <w:t xml:space="preserve">environments that accurately assess </w:t>
      </w:r>
      <w:r w:rsidR="005D726C">
        <w:rPr>
          <w:bCs/>
        </w:rPr>
        <w:t>beneficiarie</w:t>
      </w:r>
      <w:r w:rsidR="00AE71DD" w:rsidRPr="00ED2721">
        <w:rPr>
          <w:bCs/>
        </w:rPr>
        <w:t>s’ function</w:t>
      </w:r>
      <w:r>
        <w:rPr>
          <w:bCs/>
        </w:rPr>
        <w:t>al status and address the real-life needs of beneficiaries</w:t>
      </w:r>
      <w:r w:rsidR="00AE71DD" w:rsidRPr="00ED2721">
        <w:rPr>
          <w:bCs/>
        </w:rPr>
        <w:t>.</w:t>
      </w:r>
      <w:r>
        <w:rPr>
          <w:bCs/>
        </w:rPr>
        <w:t xml:space="preserve">  </w:t>
      </w:r>
    </w:p>
    <w:p w:rsidR="0082434B" w:rsidRDefault="0082434B" w:rsidP="00AB1436">
      <w:pPr>
        <w:shd w:val="clear" w:color="auto" w:fill="FFFFFF"/>
        <w:rPr>
          <w:bCs/>
        </w:rPr>
      </w:pPr>
    </w:p>
    <w:p w:rsidR="006B792C" w:rsidRPr="00ED2721" w:rsidRDefault="0082434B" w:rsidP="00AB1436">
      <w:pPr>
        <w:shd w:val="clear" w:color="auto" w:fill="FFFFFF"/>
        <w:rPr>
          <w:bCs/>
        </w:rPr>
      </w:pPr>
      <w:r>
        <w:rPr>
          <w:bCs/>
        </w:rPr>
        <w:t xml:space="preserve">For instance, as PAC quality measurement matures, we urge CMS to ensure that community-based functional measures are implemented so that beneficiaries with disabilities and chronic conditions will be better informed of their key concerns following illness or injury.  These concerns include the ability to </w:t>
      </w:r>
      <w:r w:rsidR="006B792C" w:rsidRPr="00ED2721">
        <w:rPr>
          <w:bCs/>
        </w:rPr>
        <w:t>ability to live as independently as possible; to function at the maximum extent possible; to return to employment</w:t>
      </w:r>
      <w:r>
        <w:rPr>
          <w:bCs/>
        </w:rPr>
        <w:t xml:space="preserve"> if desired and appropriate</w:t>
      </w:r>
      <w:r w:rsidR="006B792C" w:rsidRPr="00ED2721">
        <w:rPr>
          <w:bCs/>
        </w:rPr>
        <w:t xml:space="preserve">; to engage in recreational and </w:t>
      </w:r>
      <w:r>
        <w:rPr>
          <w:bCs/>
        </w:rPr>
        <w:t>leisure activities; to exercise with or without assistive aids;</w:t>
      </w:r>
      <w:r w:rsidR="006B792C" w:rsidRPr="00ED2721">
        <w:rPr>
          <w:bCs/>
        </w:rPr>
        <w:t xml:space="preserve"> </w:t>
      </w:r>
      <w:r>
        <w:rPr>
          <w:bCs/>
        </w:rPr>
        <w:t>to engage in community, civic and social a</w:t>
      </w:r>
      <w:r w:rsidR="008A271D" w:rsidRPr="00ED2721">
        <w:rPr>
          <w:bCs/>
        </w:rPr>
        <w:t xml:space="preserve">ctivities; </w:t>
      </w:r>
      <w:r w:rsidR="006B792C" w:rsidRPr="00ED2721">
        <w:rPr>
          <w:bCs/>
        </w:rPr>
        <w:t>and to maintain the highest quality of life possible.</w:t>
      </w:r>
    </w:p>
    <w:p w:rsidR="006B792C" w:rsidRPr="00ED2721" w:rsidRDefault="006B792C" w:rsidP="00AB1436">
      <w:pPr>
        <w:shd w:val="clear" w:color="auto" w:fill="FFFFFF"/>
        <w:rPr>
          <w:bCs/>
        </w:rPr>
      </w:pPr>
    </w:p>
    <w:p w:rsidR="00D55DD5" w:rsidRPr="00D55DD5" w:rsidRDefault="00D55DD5" w:rsidP="00D55DD5">
      <w:pPr>
        <w:pStyle w:val="Default"/>
      </w:pPr>
      <w:r>
        <w:t>We discuss two</w:t>
      </w:r>
      <w:r w:rsidR="00356373">
        <w:t xml:space="preserve"> of these measures below.  </w:t>
      </w:r>
      <w:r w:rsidR="009F3B82">
        <w:t xml:space="preserve">Additionally, </w:t>
      </w:r>
      <w:r w:rsidR="009F3B82" w:rsidRPr="00143FC1">
        <w:t xml:space="preserve">CPR recommends </w:t>
      </w:r>
      <w:r w:rsidR="0082434B">
        <w:t xml:space="preserve">that </w:t>
      </w:r>
      <w:r w:rsidR="009F3B82" w:rsidRPr="00143FC1">
        <w:t xml:space="preserve">CMS </w:t>
      </w:r>
      <w:r>
        <w:t xml:space="preserve">further </w:t>
      </w:r>
      <w:r w:rsidR="009F3B82" w:rsidRPr="00143FC1">
        <w:t xml:space="preserve">research and </w:t>
      </w:r>
      <w:r>
        <w:t xml:space="preserve">refine the </w:t>
      </w:r>
      <w:r w:rsidR="009F3B82" w:rsidRPr="00143FC1">
        <w:t>develop</w:t>
      </w:r>
      <w:r>
        <w:t>ment</w:t>
      </w:r>
      <w:r w:rsidR="009F3B82" w:rsidRPr="00143FC1">
        <w:t xml:space="preserve"> </w:t>
      </w:r>
      <w:r>
        <w:t xml:space="preserve">of risk adjusters </w:t>
      </w:r>
      <w:r w:rsidR="0082434B">
        <w:t xml:space="preserve">for each of these measures </w:t>
      </w:r>
      <w:r>
        <w:t>that are</w:t>
      </w:r>
      <w:r w:rsidR="009F3B82" w:rsidRPr="00143FC1">
        <w:t xml:space="preserve"> more sensitive to the </w:t>
      </w:r>
      <w:r w:rsidR="009F3B82" w:rsidRPr="00D55DD5">
        <w:t xml:space="preserve">complexities of PAC </w:t>
      </w:r>
      <w:r w:rsidR="005D726C" w:rsidRPr="00D55DD5">
        <w:t>beneficiarie</w:t>
      </w:r>
      <w:r w:rsidR="009F3B82" w:rsidRPr="00D55DD5">
        <w:t xml:space="preserve">s, and to their levels of resource use. </w:t>
      </w:r>
      <w:r w:rsidRPr="00D55DD5">
        <w:t xml:space="preserve"> We also believe that </w:t>
      </w:r>
    </w:p>
    <w:p w:rsidR="00D55DD5" w:rsidRPr="00D55DD5" w:rsidRDefault="00D55DD5" w:rsidP="00D55DD5">
      <w:pPr>
        <w:pStyle w:val="Default"/>
      </w:pPr>
      <w:r w:rsidRPr="00D55DD5">
        <w:t>CMS should include socioeconomic status and sociodemographic factor</w:t>
      </w:r>
      <w:r>
        <w:t>s in its risk-adjustment methodology</w:t>
      </w:r>
      <w:r w:rsidRPr="00D55DD5">
        <w:t xml:space="preserve"> for</w:t>
      </w:r>
      <w:r>
        <w:t xml:space="preserve"> the proposed quality measures.  This would factor into the quality measures the real-life circumstances of beneficiaries and make the quality measures more sensitive to these important considerations.</w:t>
      </w:r>
    </w:p>
    <w:p w:rsidR="00D55DD5" w:rsidRDefault="00D55DD5" w:rsidP="00356373">
      <w:pPr>
        <w:spacing w:after="200"/>
        <w:contextualSpacing/>
        <w:rPr>
          <w:rFonts w:eastAsia="Calibri"/>
          <w:b/>
          <w:u w:val="single"/>
        </w:rPr>
      </w:pPr>
    </w:p>
    <w:p w:rsidR="00356373" w:rsidRPr="00ED2721" w:rsidRDefault="00356373" w:rsidP="00356373">
      <w:pPr>
        <w:spacing w:after="200"/>
        <w:contextualSpacing/>
        <w:rPr>
          <w:rFonts w:eastAsia="Calibri"/>
          <w:b/>
          <w:u w:val="single"/>
        </w:rPr>
      </w:pPr>
      <w:r w:rsidRPr="00ED2721">
        <w:rPr>
          <w:rFonts w:eastAsia="Calibri"/>
          <w:b/>
          <w:u w:val="single"/>
        </w:rPr>
        <w:t xml:space="preserve">Medicare Spending Per Beneficiary </w:t>
      </w:r>
      <w:r w:rsidR="00D55DD5">
        <w:rPr>
          <w:rFonts w:eastAsia="Calibri"/>
          <w:b/>
          <w:u w:val="single"/>
        </w:rPr>
        <w:t>is Not a Quality Measure</w:t>
      </w:r>
    </w:p>
    <w:p w:rsidR="00D55DD5" w:rsidRDefault="00D55DD5" w:rsidP="00356373">
      <w:pPr>
        <w:spacing w:after="200"/>
        <w:contextualSpacing/>
        <w:rPr>
          <w:sz w:val="23"/>
          <w:szCs w:val="23"/>
        </w:rPr>
      </w:pPr>
      <w:r>
        <w:t>CPR believes that</w:t>
      </w:r>
      <w:r w:rsidR="00356373" w:rsidRPr="00ED2721">
        <w:t xml:space="preserve"> the Me</w:t>
      </w:r>
      <w:r>
        <w:t xml:space="preserve">dicare Spending Per Beneficiary </w:t>
      </w:r>
      <w:r w:rsidR="00356373" w:rsidRPr="00ED2721">
        <w:t xml:space="preserve">post-acute care (MSPB-PAC) </w:t>
      </w:r>
      <w:r>
        <w:t xml:space="preserve">measure has very little to do with quality.  Therefore, defining MSPB as a quality measure is not accurate.  MSPB-PAC is nothing more than a measure of resource use across an episode of post-acute care.  While relevant to assess how much the Medicare program invests in various levels of PAC services per </w:t>
      </w:r>
      <w:r>
        <w:lastRenderedPageBreak/>
        <w:t>patient, it does not inform the Medicare program, providers, or stakeholders of the value received for the Medicare program’s investment</w:t>
      </w:r>
      <w:r w:rsidRPr="00D55DD5">
        <w:t xml:space="preserve">.  </w:t>
      </w:r>
      <w:r>
        <w:t xml:space="preserve">CPR supports the fact that </w:t>
      </w:r>
      <w:r w:rsidRPr="00D55DD5">
        <w:t>CMS proposes a separate MSPB measure for each PAC setting</w:t>
      </w:r>
      <w:r>
        <w:t xml:space="preserve">.  Establishing separate MSPB measures for each setting of post-acute care will enable CMS and providers to draw </w:t>
      </w:r>
      <w:r w:rsidRPr="00D55DD5">
        <w:t>comparisons</w:t>
      </w:r>
      <w:r>
        <w:t xml:space="preserve"> </w:t>
      </w:r>
      <w:r w:rsidRPr="00D55DD5">
        <w:t>between providers of the same type</w:t>
      </w:r>
      <w:r>
        <w:t>,</w:t>
      </w:r>
      <w:r w:rsidRPr="00D55DD5">
        <w:t xml:space="preserve"> as opposed to</w:t>
      </w:r>
      <w:r>
        <w:t xml:space="preserve"> comparisons</w:t>
      </w:r>
      <w:r w:rsidRPr="00D55DD5">
        <w:t xml:space="preserve"> across different types of providers.</w:t>
      </w:r>
      <w:r>
        <w:rPr>
          <w:sz w:val="23"/>
          <w:szCs w:val="23"/>
        </w:rPr>
        <w:t xml:space="preserve">  </w:t>
      </w:r>
    </w:p>
    <w:p w:rsidR="00D55DD5" w:rsidRDefault="00D55DD5" w:rsidP="00356373">
      <w:pPr>
        <w:spacing w:after="200"/>
        <w:contextualSpacing/>
        <w:rPr>
          <w:sz w:val="23"/>
          <w:szCs w:val="23"/>
        </w:rPr>
      </w:pPr>
    </w:p>
    <w:p w:rsidR="00356373" w:rsidRPr="00ED2721" w:rsidRDefault="00356373" w:rsidP="00356373">
      <w:pPr>
        <w:spacing w:after="200"/>
        <w:contextualSpacing/>
        <w:rPr>
          <w:rFonts w:eastAsia="Calibri"/>
        </w:rPr>
      </w:pPr>
      <w:r w:rsidRPr="00ED2721">
        <w:t xml:space="preserve">CPR believes that using MSPB as a </w:t>
      </w:r>
      <w:r w:rsidR="00D55DD5">
        <w:t xml:space="preserve">“quality” measure to compare care delivered in different PAC settings will create a major disincentive for referring acute care hospitals to send patients to more intensive PAC settings that are often more expensive in the short term.  Using MSPB as a </w:t>
      </w:r>
      <w:r w:rsidRPr="00ED2721">
        <w:t xml:space="preserve">benchmark </w:t>
      </w:r>
      <w:r w:rsidR="00D55DD5">
        <w:t xml:space="preserve">in this manner is likely to lead to a systematic bias against referrals to more intensive PAC settings, even if the patient requires and can benefit from a more intensive and coordinated rehabilitation program.  </w:t>
      </w:r>
      <w:r w:rsidRPr="00ED2721">
        <w:t xml:space="preserve">Further, MSPB scores do not reflect </w:t>
      </w:r>
      <w:r w:rsidR="00D55DD5">
        <w:t xml:space="preserve">the </w:t>
      </w:r>
      <w:r w:rsidRPr="00ED2721">
        <w:t>long</w:t>
      </w:r>
      <w:r w:rsidR="00D55DD5">
        <w:t>er</w:t>
      </w:r>
      <w:r w:rsidRPr="00ED2721">
        <w:t xml:space="preserve">-term savings </w:t>
      </w:r>
      <w:r w:rsidR="00D55DD5">
        <w:t>that come from early functional gains by beneficiaries that may lead to independent living and less burden on health and social services and supports.</w:t>
      </w:r>
    </w:p>
    <w:p w:rsidR="00356373" w:rsidRPr="00ED2721" w:rsidRDefault="00356373" w:rsidP="00D55DD5">
      <w:pPr>
        <w:pStyle w:val="ListParagraph"/>
        <w:ind w:left="0" w:right="18"/>
        <w:rPr>
          <w:rFonts w:ascii="Times New Roman" w:hAnsi="Times New Roman"/>
          <w:sz w:val="24"/>
          <w:szCs w:val="24"/>
        </w:rPr>
      </w:pPr>
      <w:r w:rsidRPr="00ED2721">
        <w:rPr>
          <w:rFonts w:ascii="Times New Roman" w:hAnsi="Times New Roman"/>
          <w:sz w:val="24"/>
          <w:szCs w:val="24"/>
        </w:rPr>
        <w:t xml:space="preserve">Therefore, in order to protect against diversion of </w:t>
      </w:r>
      <w:r>
        <w:rPr>
          <w:rFonts w:ascii="Times New Roman" w:hAnsi="Times New Roman"/>
          <w:sz w:val="24"/>
          <w:szCs w:val="24"/>
        </w:rPr>
        <w:t>beneficiarie</w:t>
      </w:r>
      <w:r w:rsidRPr="00ED2721">
        <w:rPr>
          <w:rFonts w:ascii="Times New Roman" w:hAnsi="Times New Roman"/>
          <w:sz w:val="24"/>
          <w:szCs w:val="24"/>
        </w:rPr>
        <w:t>s to less intensive, inappropriate PAC settings</w:t>
      </w:r>
      <w:r w:rsidR="00D55DD5">
        <w:rPr>
          <w:rFonts w:ascii="Times New Roman" w:hAnsi="Times New Roman"/>
          <w:sz w:val="24"/>
          <w:szCs w:val="24"/>
        </w:rPr>
        <w:t xml:space="preserve"> as a result of widespread use of the MSPB measure, we recommend that the final rule include</w:t>
      </w:r>
      <w:r w:rsidRPr="00ED2721">
        <w:rPr>
          <w:rFonts w:ascii="Times New Roman" w:hAnsi="Times New Roman"/>
          <w:sz w:val="24"/>
          <w:szCs w:val="24"/>
        </w:rPr>
        <w:t xml:space="preserve"> payment penalties </w:t>
      </w:r>
      <w:r w:rsidR="00D55DD5">
        <w:rPr>
          <w:rFonts w:ascii="Times New Roman" w:hAnsi="Times New Roman"/>
          <w:sz w:val="24"/>
          <w:szCs w:val="24"/>
        </w:rPr>
        <w:t xml:space="preserve">that can be used by CMS to </w:t>
      </w:r>
      <w:r w:rsidRPr="00ED2721">
        <w:rPr>
          <w:rFonts w:ascii="Times New Roman" w:hAnsi="Times New Roman"/>
          <w:sz w:val="24"/>
          <w:szCs w:val="24"/>
        </w:rPr>
        <w:t xml:space="preserve">dissuade providers from </w:t>
      </w:r>
      <w:r w:rsidR="00D55DD5">
        <w:rPr>
          <w:rFonts w:ascii="Times New Roman" w:hAnsi="Times New Roman"/>
          <w:sz w:val="24"/>
          <w:szCs w:val="24"/>
        </w:rPr>
        <w:t>using the MSPB measure to make referral decisions that inappropriately underserve</w:t>
      </w:r>
      <w:r w:rsidRPr="00ED2721">
        <w:rPr>
          <w:rFonts w:ascii="Times New Roman" w:hAnsi="Times New Roman"/>
          <w:sz w:val="24"/>
          <w:szCs w:val="24"/>
        </w:rPr>
        <w:t xml:space="preserve"> </w:t>
      </w:r>
      <w:r>
        <w:rPr>
          <w:rFonts w:ascii="Times New Roman" w:hAnsi="Times New Roman"/>
          <w:sz w:val="24"/>
          <w:szCs w:val="24"/>
        </w:rPr>
        <w:t>beneficiarie</w:t>
      </w:r>
      <w:r w:rsidRPr="00ED2721">
        <w:rPr>
          <w:rFonts w:ascii="Times New Roman" w:hAnsi="Times New Roman"/>
          <w:sz w:val="24"/>
          <w:szCs w:val="24"/>
        </w:rPr>
        <w:t>s</w:t>
      </w:r>
      <w:r w:rsidR="00D55DD5">
        <w:rPr>
          <w:rFonts w:ascii="Times New Roman" w:hAnsi="Times New Roman"/>
          <w:sz w:val="24"/>
          <w:szCs w:val="24"/>
        </w:rPr>
        <w:t xml:space="preserve"> with disabilities and chronic conditions</w:t>
      </w:r>
      <w:r w:rsidRPr="00ED2721">
        <w:rPr>
          <w:rFonts w:ascii="Times New Roman" w:hAnsi="Times New Roman"/>
          <w:sz w:val="24"/>
          <w:szCs w:val="24"/>
        </w:rPr>
        <w:t xml:space="preserve">.   </w:t>
      </w:r>
    </w:p>
    <w:p w:rsidR="00356373" w:rsidRDefault="00356373" w:rsidP="009F3B82">
      <w:pPr>
        <w:pStyle w:val="ListParagraph"/>
        <w:ind w:left="0"/>
        <w:rPr>
          <w:rFonts w:ascii="Times New Roman" w:hAnsi="Times New Roman"/>
          <w:sz w:val="24"/>
          <w:szCs w:val="24"/>
        </w:rPr>
      </w:pPr>
    </w:p>
    <w:p w:rsidR="007F79BF" w:rsidRPr="00356373" w:rsidRDefault="007F79BF" w:rsidP="007F79BF">
      <w:pPr>
        <w:rPr>
          <w:b/>
          <w:u w:val="single"/>
        </w:rPr>
      </w:pPr>
      <w:r w:rsidRPr="00356373">
        <w:rPr>
          <w:b/>
          <w:u w:val="single"/>
        </w:rPr>
        <w:t xml:space="preserve">Discharge to Community </w:t>
      </w:r>
      <w:r w:rsidR="00D55DD5">
        <w:rPr>
          <w:b/>
          <w:u w:val="single"/>
        </w:rPr>
        <w:t>Is an Important Quality Measure for Institution-based PAC Settings</w:t>
      </w:r>
    </w:p>
    <w:p w:rsidR="007F79BF" w:rsidRPr="00B65FC2" w:rsidRDefault="00D55DD5" w:rsidP="007F79BF">
      <w:pPr>
        <w:pStyle w:val="NoSpacing"/>
        <w:rPr>
          <w:rFonts w:ascii="Times New Roman" w:hAnsi="Times New Roman"/>
          <w:sz w:val="24"/>
          <w:szCs w:val="24"/>
        </w:rPr>
      </w:pPr>
      <w:r>
        <w:rPr>
          <w:rFonts w:ascii="Times New Roman" w:hAnsi="Times New Roman"/>
          <w:sz w:val="24"/>
          <w:szCs w:val="24"/>
        </w:rPr>
        <w:t>The</w:t>
      </w:r>
      <w:r w:rsidR="007F79BF" w:rsidRPr="00B65FC2">
        <w:rPr>
          <w:rFonts w:ascii="Times New Roman" w:hAnsi="Times New Roman"/>
          <w:sz w:val="24"/>
          <w:szCs w:val="24"/>
        </w:rPr>
        <w:t xml:space="preserve"> proposed </w:t>
      </w:r>
      <w:r>
        <w:rPr>
          <w:rFonts w:ascii="Times New Roman" w:hAnsi="Times New Roman"/>
          <w:sz w:val="24"/>
          <w:szCs w:val="24"/>
        </w:rPr>
        <w:t xml:space="preserve">discharge to community </w:t>
      </w:r>
      <w:r w:rsidR="007F79BF" w:rsidRPr="00B65FC2">
        <w:rPr>
          <w:rFonts w:ascii="Times New Roman" w:hAnsi="Times New Roman"/>
          <w:sz w:val="24"/>
          <w:szCs w:val="24"/>
        </w:rPr>
        <w:t>measure assesses successful discharge to th</w:t>
      </w:r>
      <w:r>
        <w:rPr>
          <w:rFonts w:ascii="Times New Roman" w:hAnsi="Times New Roman"/>
          <w:sz w:val="24"/>
          <w:szCs w:val="24"/>
        </w:rPr>
        <w:t xml:space="preserve">e community from an IRF or other post-acute care setting.  </w:t>
      </w:r>
      <w:r w:rsidR="007F79BF" w:rsidRPr="00B65FC2">
        <w:rPr>
          <w:rFonts w:ascii="Times New Roman" w:hAnsi="Times New Roman"/>
          <w:sz w:val="24"/>
          <w:szCs w:val="24"/>
        </w:rPr>
        <w:t xml:space="preserve">Discharge to community </w:t>
      </w:r>
      <w:r>
        <w:rPr>
          <w:rFonts w:ascii="Times New Roman" w:hAnsi="Times New Roman"/>
          <w:sz w:val="24"/>
          <w:szCs w:val="24"/>
        </w:rPr>
        <w:t xml:space="preserve">is a critical measure to assess the ability of a PAC provider to rehabilitate patients to enable them to return to the home and community based setting, rather than remaining in an institution.  This measure </w:t>
      </w:r>
      <w:r w:rsidR="007F79BF" w:rsidRPr="00B65FC2">
        <w:rPr>
          <w:rFonts w:ascii="Times New Roman" w:hAnsi="Times New Roman"/>
          <w:sz w:val="24"/>
          <w:szCs w:val="24"/>
        </w:rPr>
        <w:t xml:space="preserve">will be determined based on the code used for the “Patient Discharge Status Code” on the Medicare claim form. </w:t>
      </w:r>
      <w:r>
        <w:rPr>
          <w:rFonts w:ascii="Times New Roman" w:hAnsi="Times New Roman"/>
          <w:sz w:val="24"/>
          <w:szCs w:val="24"/>
        </w:rPr>
        <w:t xml:space="preserve"> </w:t>
      </w:r>
      <w:r w:rsidR="007F79BF" w:rsidRPr="00B65FC2">
        <w:rPr>
          <w:rFonts w:ascii="Times New Roman" w:hAnsi="Times New Roman"/>
          <w:sz w:val="24"/>
          <w:szCs w:val="24"/>
        </w:rPr>
        <w:t xml:space="preserve">A </w:t>
      </w:r>
      <w:r w:rsidR="005D726C">
        <w:rPr>
          <w:rFonts w:ascii="Times New Roman" w:hAnsi="Times New Roman"/>
          <w:sz w:val="24"/>
          <w:szCs w:val="24"/>
        </w:rPr>
        <w:t>beneficiary</w:t>
      </w:r>
      <w:r w:rsidR="007F79BF" w:rsidRPr="00B65FC2">
        <w:rPr>
          <w:rFonts w:ascii="Times New Roman" w:hAnsi="Times New Roman"/>
          <w:sz w:val="24"/>
          <w:szCs w:val="24"/>
        </w:rPr>
        <w:t xml:space="preserve"> will be considered discharged to community if their Pati</w:t>
      </w:r>
      <w:r>
        <w:rPr>
          <w:rFonts w:ascii="Times New Roman" w:hAnsi="Times New Roman"/>
          <w:sz w:val="24"/>
          <w:szCs w:val="24"/>
        </w:rPr>
        <w:t>ent Discharge Status Code on</w:t>
      </w:r>
      <w:r w:rsidR="007F79BF" w:rsidRPr="00B65FC2">
        <w:rPr>
          <w:rFonts w:ascii="Times New Roman" w:hAnsi="Times New Roman"/>
          <w:sz w:val="24"/>
          <w:szCs w:val="24"/>
        </w:rPr>
        <w:t xml:space="preserve"> Medicare claims is one of the following: </w:t>
      </w:r>
    </w:p>
    <w:p w:rsidR="007F79BF" w:rsidRPr="00B65FC2" w:rsidRDefault="007F79BF" w:rsidP="007F79BF">
      <w:pPr>
        <w:pStyle w:val="NoSpacing"/>
        <w:numPr>
          <w:ilvl w:val="0"/>
          <w:numId w:val="34"/>
        </w:numPr>
        <w:ind w:left="1080"/>
        <w:rPr>
          <w:rFonts w:ascii="Times New Roman" w:hAnsi="Times New Roman"/>
          <w:sz w:val="24"/>
          <w:szCs w:val="24"/>
        </w:rPr>
      </w:pPr>
      <w:r w:rsidRPr="00B65FC2">
        <w:rPr>
          <w:rFonts w:ascii="Times New Roman" w:hAnsi="Times New Roman"/>
          <w:sz w:val="24"/>
          <w:szCs w:val="24"/>
        </w:rPr>
        <w:t>01 - Discharged to home/self-care</w:t>
      </w:r>
    </w:p>
    <w:p w:rsidR="007F79BF" w:rsidRPr="00B65FC2" w:rsidRDefault="007F79BF" w:rsidP="007F79BF">
      <w:pPr>
        <w:pStyle w:val="ListParagraph"/>
        <w:numPr>
          <w:ilvl w:val="0"/>
          <w:numId w:val="34"/>
        </w:numPr>
        <w:spacing w:after="160"/>
        <w:ind w:left="1080"/>
        <w:rPr>
          <w:rFonts w:ascii="Times New Roman" w:hAnsi="Times New Roman"/>
          <w:sz w:val="24"/>
          <w:szCs w:val="24"/>
        </w:rPr>
      </w:pPr>
      <w:r w:rsidRPr="00B65FC2">
        <w:rPr>
          <w:rFonts w:ascii="Times New Roman" w:hAnsi="Times New Roman"/>
          <w:sz w:val="24"/>
          <w:szCs w:val="24"/>
        </w:rPr>
        <w:t xml:space="preserve">06 - Discharged/transferred to home under care of organized home health service organization </w:t>
      </w:r>
    </w:p>
    <w:p w:rsidR="007F79BF" w:rsidRPr="00B65FC2" w:rsidRDefault="007F79BF" w:rsidP="007F79BF">
      <w:pPr>
        <w:pStyle w:val="ListParagraph"/>
        <w:numPr>
          <w:ilvl w:val="0"/>
          <w:numId w:val="34"/>
        </w:numPr>
        <w:spacing w:after="160"/>
        <w:ind w:left="1080"/>
        <w:rPr>
          <w:rFonts w:ascii="Times New Roman" w:hAnsi="Times New Roman"/>
          <w:sz w:val="24"/>
          <w:szCs w:val="24"/>
        </w:rPr>
      </w:pPr>
      <w:r w:rsidRPr="00B65FC2">
        <w:rPr>
          <w:rFonts w:ascii="Times New Roman" w:hAnsi="Times New Roman"/>
          <w:sz w:val="24"/>
          <w:szCs w:val="24"/>
        </w:rPr>
        <w:t>81 - Discharged to home or self-care with a planned acute care hospital readmission</w:t>
      </w:r>
    </w:p>
    <w:p w:rsidR="007F79BF" w:rsidRPr="00B65FC2" w:rsidRDefault="007F79BF" w:rsidP="007F79BF">
      <w:pPr>
        <w:pStyle w:val="ListParagraph"/>
        <w:numPr>
          <w:ilvl w:val="0"/>
          <w:numId w:val="34"/>
        </w:numPr>
        <w:spacing w:after="160"/>
        <w:ind w:left="1080"/>
        <w:rPr>
          <w:rFonts w:ascii="Times New Roman" w:hAnsi="Times New Roman"/>
          <w:sz w:val="24"/>
          <w:szCs w:val="24"/>
        </w:rPr>
      </w:pPr>
      <w:r w:rsidRPr="00B65FC2">
        <w:rPr>
          <w:rFonts w:ascii="Times New Roman" w:hAnsi="Times New Roman"/>
          <w:sz w:val="24"/>
          <w:szCs w:val="24"/>
        </w:rPr>
        <w:t xml:space="preserve">86 - Discharged/transferred to home under care of organized home health service organization with a planned acute care hospital inpatient readmission. </w:t>
      </w:r>
    </w:p>
    <w:p w:rsidR="007F79BF" w:rsidRPr="00B65FC2" w:rsidRDefault="00D55DD5" w:rsidP="007F79BF">
      <w:r>
        <w:t>Overall, CPR believes</w:t>
      </w:r>
      <w:r w:rsidR="007F79BF" w:rsidRPr="00B65FC2">
        <w:t xml:space="preserve"> many of the elements of the measure specifications for the Discharge to Community (DTC) measure are appropriate. However, we are submitting for CMS’s consideration several recommendations to strengthen the specifications.</w:t>
      </w:r>
    </w:p>
    <w:p w:rsidR="00D55DD5" w:rsidRDefault="00D55DD5" w:rsidP="00356373">
      <w:pPr>
        <w:pStyle w:val="ListParagraph"/>
        <w:ind w:left="0"/>
        <w:rPr>
          <w:rFonts w:ascii="Times New Roman" w:hAnsi="Times New Roman"/>
          <w:b/>
          <w:i/>
          <w:sz w:val="24"/>
          <w:szCs w:val="24"/>
        </w:rPr>
      </w:pPr>
    </w:p>
    <w:p w:rsidR="007F79BF" w:rsidRPr="00B65FC2" w:rsidRDefault="007F79BF" w:rsidP="00356373">
      <w:pPr>
        <w:pStyle w:val="ListParagraph"/>
        <w:ind w:left="0"/>
        <w:rPr>
          <w:rFonts w:ascii="Times New Roman" w:hAnsi="Times New Roman"/>
          <w:sz w:val="24"/>
          <w:szCs w:val="24"/>
        </w:rPr>
      </w:pPr>
      <w:r w:rsidRPr="00B65FC2">
        <w:rPr>
          <w:rFonts w:ascii="Times New Roman" w:hAnsi="Times New Roman"/>
          <w:b/>
          <w:i/>
          <w:sz w:val="24"/>
          <w:szCs w:val="24"/>
        </w:rPr>
        <w:t>Discharge to Community Definition</w:t>
      </w:r>
      <w:r w:rsidRPr="00B65FC2">
        <w:rPr>
          <w:rFonts w:ascii="Times New Roman" w:hAnsi="Times New Roman"/>
          <w:sz w:val="24"/>
          <w:szCs w:val="24"/>
        </w:rPr>
        <w:t xml:space="preserve"> </w:t>
      </w:r>
    </w:p>
    <w:p w:rsidR="007F79BF" w:rsidRPr="00B65FC2" w:rsidRDefault="00E7070A" w:rsidP="007F79BF">
      <w:r>
        <w:t>CPR</w:t>
      </w:r>
      <w:r w:rsidR="00D55DD5">
        <w:t xml:space="preserve"> would like</w:t>
      </w:r>
      <w:r w:rsidR="007F79BF" w:rsidRPr="00B65FC2">
        <w:t xml:space="preserve"> to ensure that all PAC providers abide by the same standards in recording discharges to </w:t>
      </w:r>
      <w:r w:rsidR="00D55DD5">
        <w:t>the community.  W</w:t>
      </w:r>
      <w:r w:rsidR="007F79BF" w:rsidRPr="00B65FC2">
        <w:t xml:space="preserve">e believe that discharging a </w:t>
      </w:r>
      <w:r w:rsidR="005D726C">
        <w:t>beneficiary</w:t>
      </w:r>
      <w:r w:rsidR="007F79BF" w:rsidRPr="00B65FC2">
        <w:t xml:space="preserve"> to a “residential” nursing home (</w:t>
      </w:r>
      <w:r w:rsidR="007F79BF" w:rsidRPr="00B65FC2">
        <w:rPr>
          <w:i/>
        </w:rPr>
        <w:t xml:space="preserve">i.e., </w:t>
      </w:r>
      <w:r w:rsidR="007F79BF" w:rsidRPr="00B65FC2">
        <w:t>long-term c</w:t>
      </w:r>
      <w:r w:rsidR="00D55DD5">
        <w:t>are setting), especially if the patient is</w:t>
      </w:r>
      <w:r w:rsidR="007F79BF" w:rsidRPr="00B65FC2">
        <w:t xml:space="preserve"> admitted from a Medicare-certified part of the same facility, should </w:t>
      </w:r>
      <w:r w:rsidR="007F79BF" w:rsidRPr="00B65FC2">
        <w:rPr>
          <w:u w:val="single"/>
        </w:rPr>
        <w:t>not</w:t>
      </w:r>
      <w:r w:rsidR="007F79BF" w:rsidRPr="00B65FC2">
        <w:rPr>
          <w:i/>
        </w:rPr>
        <w:t xml:space="preserve"> </w:t>
      </w:r>
      <w:r w:rsidR="007F79BF" w:rsidRPr="00B65FC2">
        <w:t xml:space="preserve">be counted as a discharge to community. </w:t>
      </w:r>
      <w:r w:rsidR="00D55DD5">
        <w:t xml:space="preserve"> </w:t>
      </w:r>
      <w:r w:rsidR="007F79BF" w:rsidRPr="00B65FC2">
        <w:t>Unfortunately, the measure specifications as proposed would p</w:t>
      </w:r>
      <w:r w:rsidR="00D55DD5">
        <w:t>ermit such a discharge to</w:t>
      </w:r>
      <w:r w:rsidR="007F79BF" w:rsidRPr="00B65FC2">
        <w:t xml:space="preserve"> count as a community discharge</w:t>
      </w:r>
      <w:r w:rsidR="00D55DD5">
        <w:t>.  For instance, i</w:t>
      </w:r>
      <w:r w:rsidR="007F79BF" w:rsidRPr="00B65FC2">
        <w:t xml:space="preserve">f a </w:t>
      </w:r>
      <w:r w:rsidR="005D726C">
        <w:t xml:space="preserve">beneficiary </w:t>
      </w:r>
      <w:r w:rsidR="007F79BF" w:rsidRPr="00B65FC2">
        <w:t>in a skilled nursing facility (SNF) is discharged to a non-Medicare certified area within that same facility, the discharge may be interpreted as a discharge to a “group home</w:t>
      </w:r>
      <w:r>
        <w:t>,”</w:t>
      </w:r>
      <w:r w:rsidR="007F79BF" w:rsidRPr="00B65FC2">
        <w:t xml:space="preserve"> “foster care</w:t>
      </w:r>
      <w:r>
        <w:t>,”</w:t>
      </w:r>
      <w:r w:rsidR="007F79BF" w:rsidRPr="00B65FC2">
        <w:t xml:space="preserve"> or “othe</w:t>
      </w:r>
      <w:r w:rsidR="00D55DD5">
        <w:t>r residential care arrangement.” Such discharges</w:t>
      </w:r>
      <w:r w:rsidR="007F79BF" w:rsidRPr="00B65FC2">
        <w:t xml:space="preserve"> are nevertheless included under guidance for </w:t>
      </w:r>
      <w:r w:rsidR="007F79BF" w:rsidRPr="00B65FC2">
        <w:lastRenderedPageBreak/>
        <w:t>Patient Status Discharge Code 01, one of the codes that counts as a community discharge.</w:t>
      </w:r>
      <w:r w:rsidR="007F79BF" w:rsidRPr="00B65FC2">
        <w:rPr>
          <w:rStyle w:val="FootnoteReference"/>
        </w:rPr>
        <w:footnoteReference w:id="1"/>
      </w:r>
      <w:r w:rsidR="007F79BF" w:rsidRPr="00B65FC2">
        <w:t xml:space="preserve"> </w:t>
      </w:r>
      <w:r w:rsidR="00D55DD5">
        <w:t xml:space="preserve"> </w:t>
      </w:r>
      <w:r w:rsidR="007F79BF" w:rsidRPr="00B65FC2">
        <w:t>If such</w:t>
      </w:r>
      <w:r w:rsidR="00D55DD5">
        <w:t xml:space="preserve"> a discharge from a Medicare skilled nursing facility</w:t>
      </w:r>
      <w:r w:rsidR="007F79BF" w:rsidRPr="00B65FC2">
        <w:t xml:space="preserve"> to another part of the same facility would indeed count as a community discharge, this would likely artificially improve the community discharge rates for SNFs with accompanying residential nursing home beds while holding other PAC providers to a different and potentially more stringent standard. As such, counting a discharge from a SNF to the residential/long-term care portion within the same facility as a discharge to community would </w:t>
      </w:r>
      <w:r w:rsidR="00D55DD5">
        <w:t>not only negate the value of the measure itself, but would miscommunicate the actual discharge to community</w:t>
      </w:r>
      <w:r w:rsidR="007F79BF" w:rsidRPr="00B65FC2">
        <w:t xml:space="preserve"> performance to the average Medicare beneficiary on any public reporting mechanism.  </w:t>
      </w:r>
    </w:p>
    <w:p w:rsidR="007F79BF" w:rsidRPr="00B65FC2" w:rsidRDefault="007F79BF" w:rsidP="007F79BF">
      <w:pPr>
        <w:ind w:firstLine="720"/>
      </w:pPr>
    </w:p>
    <w:p w:rsidR="00D55DD5" w:rsidRDefault="00D55DD5" w:rsidP="00401772">
      <w:r>
        <w:t>CMS has stated</w:t>
      </w:r>
      <w:r w:rsidR="00401772" w:rsidRPr="00B65FC2">
        <w:t xml:space="preserve"> in the proposed rule that it will not adjust</w:t>
      </w:r>
      <w:r>
        <w:t xml:space="preserve"> the quality measures, including the discharge to community measure,</w:t>
      </w:r>
      <w:r w:rsidR="00401772" w:rsidRPr="00B65FC2">
        <w:t xml:space="preserve"> </w:t>
      </w:r>
      <w:r>
        <w:t xml:space="preserve">to account </w:t>
      </w:r>
      <w:r w:rsidR="00401772" w:rsidRPr="00B65FC2">
        <w:t>for</w:t>
      </w:r>
      <w:r>
        <w:t xml:space="preserve"> the</w:t>
      </w:r>
      <w:r w:rsidR="00401772" w:rsidRPr="00B65FC2">
        <w:t xml:space="preserve"> functional status </w:t>
      </w:r>
      <w:r>
        <w:t xml:space="preserve">of beneficiaries </w:t>
      </w:r>
      <w:r w:rsidR="00401772" w:rsidRPr="00B65FC2">
        <w:t>until such data is collected under the IMPACT Act.</w:t>
      </w:r>
      <w:r>
        <w:t xml:space="preserve"> </w:t>
      </w:r>
      <w:r w:rsidR="00401772" w:rsidRPr="00B65FC2">
        <w:t xml:space="preserve"> </w:t>
      </w:r>
      <w:r>
        <w:t>A</w:t>
      </w:r>
      <w:r w:rsidRPr="00B65FC2">
        <w:t xml:space="preserve">djusting for </w:t>
      </w:r>
      <w:r>
        <w:t>beneficiaries</w:t>
      </w:r>
      <w:r w:rsidRPr="00B65FC2">
        <w:t>’ functional status is critical and would</w:t>
      </w:r>
      <w:r>
        <w:t xml:space="preserve"> enhance the accuracy of the discharge to community</w:t>
      </w:r>
      <w:r w:rsidRPr="00B65FC2">
        <w:t xml:space="preserve"> measure. </w:t>
      </w:r>
      <w:r>
        <w:t xml:space="preserve"> </w:t>
      </w:r>
      <w:r w:rsidRPr="00B65FC2">
        <w:t xml:space="preserve">Functional status has a direct and proven correlation with </w:t>
      </w:r>
      <w:r>
        <w:t xml:space="preserve">the setting to which </w:t>
      </w:r>
      <w:r w:rsidRPr="00B65FC2">
        <w:t>a</w:t>
      </w:r>
      <w:r>
        <w:t xml:space="preserve"> beneficiary is discharged, </w:t>
      </w:r>
      <w:r w:rsidRPr="00B65FC2">
        <w:t xml:space="preserve">meaning that PAC providers who treat more functionally impaired </w:t>
      </w:r>
      <w:r>
        <w:t>beneficiaries</w:t>
      </w:r>
      <w:r w:rsidRPr="00B65FC2">
        <w:t xml:space="preserve"> will</w:t>
      </w:r>
      <w:r>
        <w:t xml:space="preserve"> </w:t>
      </w:r>
      <w:r w:rsidRPr="00B65FC2">
        <w:t xml:space="preserve">likely </w:t>
      </w:r>
      <w:r>
        <w:t xml:space="preserve">score lower on the discharge to community measure. </w:t>
      </w:r>
      <w:r w:rsidRPr="00B65FC2">
        <w:t xml:space="preserve"> </w:t>
      </w:r>
      <w:r>
        <w:t>W</w:t>
      </w:r>
      <w:r w:rsidR="00401772" w:rsidRPr="00B65FC2">
        <w:t xml:space="preserve">ith the </w:t>
      </w:r>
      <w:r>
        <w:t xml:space="preserve">present </w:t>
      </w:r>
      <w:r w:rsidR="00401772" w:rsidRPr="00B65FC2">
        <w:t xml:space="preserve">focus on care transitions and discharge planning, functional data </w:t>
      </w:r>
      <w:r>
        <w:t xml:space="preserve">will soon become a necessary component of quality measurement in both acute and PAC settings.  </w:t>
      </w:r>
    </w:p>
    <w:p w:rsidR="00D55DD5" w:rsidRDefault="00D55DD5" w:rsidP="00401772"/>
    <w:p w:rsidR="00D55DD5" w:rsidRDefault="00D55DD5" w:rsidP="00D55DD5">
      <w:r w:rsidRPr="00B65FC2">
        <w:t xml:space="preserve">The presence of family or community supports is also a key indicator of a </w:t>
      </w:r>
      <w:r>
        <w:t>beneficiary</w:t>
      </w:r>
      <w:r w:rsidRPr="00B65FC2">
        <w:t xml:space="preserve">’s ability to be discharged to </w:t>
      </w:r>
      <w:r>
        <w:t xml:space="preserve">the </w:t>
      </w:r>
      <w:r w:rsidRPr="00B65FC2">
        <w:t xml:space="preserve">community as well as their ability to remain in their home or community setting. </w:t>
      </w:r>
      <w:r>
        <w:t xml:space="preserve"> </w:t>
      </w:r>
      <w:r w:rsidRPr="00B65FC2">
        <w:t xml:space="preserve">Many PAC </w:t>
      </w:r>
      <w:r>
        <w:t>beneficiaries</w:t>
      </w:r>
      <w:r w:rsidRPr="00B65FC2">
        <w:t xml:space="preserve"> that live alone without the oversight or assistance of a family </w:t>
      </w:r>
      <w:r>
        <w:t xml:space="preserve">member </w:t>
      </w:r>
      <w:r w:rsidRPr="00B65FC2">
        <w:t>or other community caregiver hav</w:t>
      </w:r>
      <w:r>
        <w:t>e a higher risk of readmission.  Therefore, CPR</w:t>
      </w:r>
      <w:r w:rsidR="00401772" w:rsidRPr="00B65FC2">
        <w:t xml:space="preserve"> recommend</w:t>
      </w:r>
      <w:r>
        <w:t>s that</w:t>
      </w:r>
      <w:r w:rsidR="00401772" w:rsidRPr="00B65FC2">
        <w:t xml:space="preserve"> CMS update the risk-adjustment factors for the </w:t>
      </w:r>
      <w:r>
        <w:t xml:space="preserve">discharge to community </w:t>
      </w:r>
      <w:r w:rsidR="00401772" w:rsidRPr="00B65FC2">
        <w:t>measure to include</w:t>
      </w:r>
      <w:r>
        <w:t xml:space="preserve"> the</w:t>
      </w:r>
      <w:r w:rsidR="00401772" w:rsidRPr="00B65FC2">
        <w:t xml:space="preserve"> funct</w:t>
      </w:r>
      <w:r>
        <w:t>ional status of beneficiaries</w:t>
      </w:r>
      <w:r w:rsidR="00401772" w:rsidRPr="00B65FC2">
        <w:t xml:space="preserve">, </w:t>
      </w:r>
      <w:r>
        <w:t xml:space="preserve">the </w:t>
      </w:r>
      <w:r w:rsidR="00401772" w:rsidRPr="00B65FC2">
        <w:t>presence of community supports</w:t>
      </w:r>
      <w:r>
        <w:t xml:space="preserve"> available to beneficiaries</w:t>
      </w:r>
      <w:r w:rsidR="00401772" w:rsidRPr="00B65FC2">
        <w:t xml:space="preserve">, and </w:t>
      </w:r>
      <w:r>
        <w:t>factors involving socioeconomic and sociodemographic characteristics.</w:t>
      </w:r>
    </w:p>
    <w:p w:rsidR="00D55DD5" w:rsidRDefault="00D55DD5" w:rsidP="00D55DD5"/>
    <w:p w:rsidR="00D55DD5" w:rsidRDefault="00D55DD5" w:rsidP="00D55DD5">
      <w:pPr>
        <w:jc w:val="center"/>
      </w:pPr>
      <w:r>
        <w:t>********</w:t>
      </w:r>
    </w:p>
    <w:p w:rsidR="00D55DD5" w:rsidRDefault="00D55DD5" w:rsidP="00D55DD5">
      <w:pPr>
        <w:jc w:val="center"/>
      </w:pPr>
    </w:p>
    <w:p w:rsidR="00D55DD5" w:rsidRDefault="00D55DD5" w:rsidP="00D55DD5">
      <w:r>
        <w:t xml:space="preserve">Thank you for the opportunity to submit these comments on the inpatient rehabilitation hospitals prospective payment system.  If you have any questions, please contact Peter Thomas or Steve Postal </w:t>
      </w:r>
    </w:p>
    <w:p w:rsidR="00D55DD5" w:rsidRDefault="00D55DD5" w:rsidP="00D55DD5">
      <w:r>
        <w:t xml:space="preserve">at (202) 466-6550 or at </w:t>
      </w:r>
      <w:hyperlink r:id="rId9" w:history="1">
        <w:r w:rsidRPr="00E567FA">
          <w:rPr>
            <w:rStyle w:val="Hyperlink"/>
          </w:rPr>
          <w:t>peter.thomas@ppsv.com</w:t>
        </w:r>
      </w:hyperlink>
      <w:r>
        <w:t xml:space="preserve"> or </w:t>
      </w:r>
      <w:hyperlink r:id="rId10" w:history="1">
        <w:r w:rsidRPr="00E567FA">
          <w:rPr>
            <w:rStyle w:val="Hyperlink"/>
          </w:rPr>
          <w:t>steven.postal@ppsv.com</w:t>
        </w:r>
      </w:hyperlink>
      <w:r>
        <w:t xml:space="preserve">. </w:t>
      </w:r>
    </w:p>
    <w:p w:rsidR="00D55DD5" w:rsidRDefault="00D55DD5" w:rsidP="00D55DD5"/>
    <w:p w:rsidR="00D55DD5" w:rsidRPr="00D55DD5" w:rsidRDefault="00D55DD5" w:rsidP="00D55DD5">
      <w:pPr>
        <w:rPr>
          <w:bCs/>
        </w:rPr>
      </w:pPr>
      <w:r w:rsidRPr="00D55DD5">
        <w:rPr>
          <w:bCs/>
        </w:rPr>
        <w:t>Sincerely,</w:t>
      </w:r>
    </w:p>
    <w:p w:rsidR="00D55DD5" w:rsidRPr="00D55DD5" w:rsidRDefault="00D55DD5" w:rsidP="00D55DD5">
      <w:pPr>
        <w:rPr>
          <w:bCs/>
          <w:u w:val="single"/>
        </w:rPr>
      </w:pPr>
    </w:p>
    <w:p w:rsidR="00D55DD5" w:rsidRPr="00D55DD5" w:rsidRDefault="00D55DD5" w:rsidP="00D55DD5">
      <w:pPr>
        <w:rPr>
          <w:b/>
          <w:bCs/>
          <w:sz w:val="22"/>
          <w:szCs w:val="22"/>
          <w:u w:val="single"/>
        </w:rPr>
      </w:pPr>
      <w:r w:rsidRPr="00D55DD5">
        <w:rPr>
          <w:b/>
          <w:bCs/>
          <w:sz w:val="22"/>
          <w:szCs w:val="22"/>
          <w:u w:val="single"/>
        </w:rPr>
        <w:t>CPR Steering Committee</w:t>
      </w:r>
    </w:p>
    <w:p w:rsidR="00D55DD5" w:rsidRPr="008E6E16" w:rsidRDefault="00D55DD5" w:rsidP="00D55DD5">
      <w:pPr>
        <w:rPr>
          <w:bCs/>
          <w:sz w:val="22"/>
          <w:szCs w:val="22"/>
          <w:highlight w:val="yellow"/>
        </w:rPr>
      </w:pPr>
      <w:r w:rsidRPr="008E6E16">
        <w:rPr>
          <w:bCs/>
          <w:sz w:val="22"/>
          <w:szCs w:val="22"/>
          <w:highlight w:val="yellow"/>
        </w:rPr>
        <w:t>Judith Stein</w:t>
      </w:r>
      <w:r w:rsidRPr="008E6E16">
        <w:rPr>
          <w:bCs/>
          <w:sz w:val="22"/>
          <w:szCs w:val="22"/>
          <w:highlight w:val="yellow"/>
        </w:rPr>
        <w:tab/>
      </w:r>
      <w:r w:rsidRPr="008E6E16">
        <w:rPr>
          <w:bCs/>
          <w:sz w:val="22"/>
          <w:szCs w:val="22"/>
          <w:highlight w:val="yellow"/>
        </w:rPr>
        <w:tab/>
        <w:t xml:space="preserve">  Center for Medicare Advocacy                           </w:t>
      </w:r>
      <w:hyperlink r:id="rId11" w:history="1">
        <w:r w:rsidRPr="008E6E16">
          <w:rPr>
            <w:rStyle w:val="Hyperlink"/>
            <w:bCs/>
            <w:sz w:val="22"/>
            <w:szCs w:val="22"/>
            <w:highlight w:val="yellow"/>
          </w:rPr>
          <w:t>JStein@medicareadvocacy.org</w:t>
        </w:r>
      </w:hyperlink>
    </w:p>
    <w:p w:rsidR="00D55DD5" w:rsidRPr="00D55DD5" w:rsidRDefault="00D55DD5" w:rsidP="00D55DD5">
      <w:pPr>
        <w:rPr>
          <w:bCs/>
          <w:sz w:val="22"/>
          <w:szCs w:val="22"/>
        </w:rPr>
      </w:pPr>
      <w:r w:rsidRPr="00D55DD5">
        <w:rPr>
          <w:bCs/>
          <w:sz w:val="22"/>
          <w:szCs w:val="22"/>
        </w:rPr>
        <w:t>Alexandra Bennewith</w:t>
      </w:r>
      <w:r w:rsidRPr="00D55DD5">
        <w:rPr>
          <w:bCs/>
          <w:sz w:val="22"/>
          <w:szCs w:val="22"/>
        </w:rPr>
        <w:tab/>
        <w:t xml:space="preserve">  United Spinal Association </w:t>
      </w:r>
      <w:r w:rsidRPr="00D55DD5">
        <w:rPr>
          <w:bCs/>
          <w:sz w:val="22"/>
          <w:szCs w:val="22"/>
        </w:rPr>
        <w:tab/>
        <w:t xml:space="preserve">                          </w:t>
      </w:r>
      <w:hyperlink r:id="rId12" w:history="1">
        <w:r w:rsidRPr="00D55DD5">
          <w:rPr>
            <w:rStyle w:val="Hyperlink"/>
            <w:bCs/>
            <w:sz w:val="22"/>
            <w:szCs w:val="22"/>
          </w:rPr>
          <w:t>ABennewith@unitedspinal.org</w:t>
        </w:r>
      </w:hyperlink>
    </w:p>
    <w:p w:rsidR="00D55DD5" w:rsidRPr="008E6E16" w:rsidRDefault="00D55DD5" w:rsidP="00D55DD5">
      <w:pPr>
        <w:rPr>
          <w:bCs/>
          <w:sz w:val="22"/>
          <w:szCs w:val="22"/>
          <w:highlight w:val="yellow"/>
        </w:rPr>
      </w:pPr>
      <w:r w:rsidRPr="008E6E16">
        <w:rPr>
          <w:bCs/>
          <w:sz w:val="22"/>
          <w:szCs w:val="22"/>
          <w:highlight w:val="yellow"/>
        </w:rPr>
        <w:t xml:space="preserve">Kim Calder </w:t>
      </w:r>
      <w:r w:rsidRPr="008E6E16">
        <w:rPr>
          <w:bCs/>
          <w:sz w:val="22"/>
          <w:szCs w:val="22"/>
          <w:highlight w:val="yellow"/>
        </w:rPr>
        <w:tab/>
      </w:r>
      <w:r w:rsidRPr="008E6E16">
        <w:rPr>
          <w:bCs/>
          <w:sz w:val="22"/>
          <w:szCs w:val="22"/>
          <w:highlight w:val="yellow"/>
        </w:rPr>
        <w:tab/>
        <w:t xml:space="preserve">  National Multiple Sclerosis Society                    </w:t>
      </w:r>
      <w:hyperlink r:id="rId13" w:history="1">
        <w:r w:rsidRPr="008E6E16">
          <w:rPr>
            <w:rStyle w:val="Hyperlink"/>
            <w:bCs/>
            <w:sz w:val="22"/>
            <w:szCs w:val="22"/>
            <w:highlight w:val="yellow"/>
          </w:rPr>
          <w:t>Kim.Calder@nmss.org</w:t>
        </w:r>
      </w:hyperlink>
    </w:p>
    <w:p w:rsidR="00D55DD5" w:rsidRPr="008E6E16" w:rsidRDefault="00D55DD5" w:rsidP="00D55DD5">
      <w:pPr>
        <w:rPr>
          <w:bCs/>
          <w:sz w:val="22"/>
          <w:szCs w:val="22"/>
          <w:highlight w:val="yellow"/>
        </w:rPr>
      </w:pPr>
      <w:r w:rsidRPr="008E6E16">
        <w:rPr>
          <w:bCs/>
          <w:sz w:val="22"/>
          <w:szCs w:val="22"/>
          <w:highlight w:val="yellow"/>
        </w:rPr>
        <w:t xml:space="preserve">Amy Colberg </w:t>
      </w:r>
      <w:r w:rsidRPr="008E6E16">
        <w:rPr>
          <w:bCs/>
          <w:sz w:val="22"/>
          <w:szCs w:val="22"/>
          <w:highlight w:val="yellow"/>
        </w:rPr>
        <w:tab/>
      </w:r>
      <w:r w:rsidRPr="008E6E16">
        <w:rPr>
          <w:bCs/>
          <w:sz w:val="22"/>
          <w:szCs w:val="22"/>
          <w:highlight w:val="yellow"/>
        </w:rPr>
        <w:tab/>
        <w:t xml:space="preserve">  Brain Injury Association of America                  </w:t>
      </w:r>
      <w:hyperlink r:id="rId14" w:history="1">
        <w:r w:rsidRPr="008E6E16">
          <w:rPr>
            <w:rStyle w:val="Hyperlink"/>
            <w:bCs/>
            <w:sz w:val="22"/>
            <w:szCs w:val="22"/>
            <w:highlight w:val="yellow"/>
          </w:rPr>
          <w:t>A</w:t>
        </w:r>
        <w:r w:rsidRPr="008E6E16">
          <w:rPr>
            <w:rStyle w:val="Hyperlink"/>
            <w:bCs/>
            <w:sz w:val="22"/>
            <w:szCs w:val="22"/>
            <w:highlight w:val="yellow"/>
          </w:rPr>
          <w:t>C</w:t>
        </w:r>
        <w:r w:rsidRPr="008E6E16">
          <w:rPr>
            <w:rStyle w:val="Hyperlink"/>
            <w:bCs/>
            <w:sz w:val="22"/>
            <w:szCs w:val="22"/>
            <w:highlight w:val="yellow"/>
          </w:rPr>
          <w:t>olberg@biausa.org</w:t>
        </w:r>
      </w:hyperlink>
    </w:p>
    <w:p w:rsidR="00D55DD5" w:rsidRPr="008E6E16" w:rsidRDefault="00D55DD5" w:rsidP="00D55DD5">
      <w:pPr>
        <w:rPr>
          <w:sz w:val="22"/>
          <w:szCs w:val="22"/>
          <w:highlight w:val="yellow"/>
        </w:rPr>
      </w:pPr>
      <w:r w:rsidRPr="008E6E16">
        <w:rPr>
          <w:bCs/>
          <w:sz w:val="22"/>
          <w:szCs w:val="22"/>
          <w:highlight w:val="yellow"/>
        </w:rPr>
        <w:t xml:space="preserve">Rachel Patterson </w:t>
      </w:r>
      <w:r w:rsidRPr="008E6E16">
        <w:rPr>
          <w:bCs/>
          <w:sz w:val="22"/>
          <w:szCs w:val="22"/>
          <w:highlight w:val="yellow"/>
        </w:rPr>
        <w:tab/>
        <w:t xml:space="preserve">  </w:t>
      </w:r>
      <w:r w:rsidRPr="008E6E16">
        <w:rPr>
          <w:sz w:val="22"/>
          <w:szCs w:val="22"/>
          <w:highlight w:val="yellow"/>
        </w:rPr>
        <w:t xml:space="preserve">Christopher and Dana Reeve Foundation           </w:t>
      </w:r>
      <w:r w:rsidRPr="008E6E16">
        <w:rPr>
          <w:bCs/>
          <w:sz w:val="22"/>
          <w:szCs w:val="22"/>
          <w:highlight w:val="yellow"/>
        </w:rPr>
        <w:fldChar w:fldCharType="begin"/>
      </w:r>
      <w:r w:rsidRPr="008E6E16">
        <w:rPr>
          <w:bCs/>
          <w:sz w:val="22"/>
          <w:szCs w:val="22"/>
          <w:highlight w:val="yellow"/>
        </w:rPr>
        <w:instrText xml:space="preserve"> HYPERLINK "mailto:rpatterson@ChristopherReeve.org</w:instrText>
      </w:r>
    </w:p>
    <w:p w:rsidR="00D55DD5" w:rsidRPr="008E6E16" w:rsidRDefault="00D55DD5" w:rsidP="00D55DD5">
      <w:pPr>
        <w:rPr>
          <w:rStyle w:val="Hyperlink"/>
          <w:sz w:val="22"/>
          <w:szCs w:val="22"/>
          <w:highlight w:val="yellow"/>
        </w:rPr>
      </w:pPr>
      <w:r w:rsidRPr="008E6E16">
        <w:rPr>
          <w:bCs/>
          <w:sz w:val="22"/>
          <w:szCs w:val="22"/>
          <w:highlight w:val="yellow"/>
        </w:rPr>
        <w:instrText xml:space="preserve">" </w:instrText>
      </w:r>
      <w:r w:rsidRPr="008E6E16">
        <w:rPr>
          <w:bCs/>
          <w:sz w:val="22"/>
          <w:szCs w:val="22"/>
          <w:highlight w:val="yellow"/>
        </w:rPr>
        <w:fldChar w:fldCharType="separate"/>
      </w:r>
      <w:r w:rsidRPr="008E6E16">
        <w:rPr>
          <w:rStyle w:val="Hyperlink"/>
          <w:bCs/>
          <w:sz w:val="22"/>
          <w:szCs w:val="22"/>
          <w:highlight w:val="yellow"/>
        </w:rPr>
        <w:t>rpatterson@Christ</w:t>
      </w:r>
      <w:r w:rsidRPr="008E6E16">
        <w:rPr>
          <w:rStyle w:val="Hyperlink"/>
          <w:bCs/>
          <w:sz w:val="22"/>
          <w:szCs w:val="22"/>
          <w:highlight w:val="yellow"/>
        </w:rPr>
        <w:t>o</w:t>
      </w:r>
      <w:r w:rsidRPr="008E6E16">
        <w:rPr>
          <w:rStyle w:val="Hyperlink"/>
          <w:bCs/>
          <w:sz w:val="22"/>
          <w:szCs w:val="22"/>
          <w:highlight w:val="yellow"/>
        </w:rPr>
        <w:t>pherReeve.org</w:t>
      </w:r>
    </w:p>
    <w:p w:rsidR="00D55DD5" w:rsidRPr="00D55DD5" w:rsidRDefault="00D55DD5" w:rsidP="00D55DD5">
      <w:pPr>
        <w:autoSpaceDE w:val="0"/>
        <w:autoSpaceDN w:val="0"/>
        <w:adjustRightInd w:val="0"/>
        <w:rPr>
          <w:b/>
          <w:bCs/>
          <w:color w:val="000000"/>
          <w:sz w:val="22"/>
          <w:szCs w:val="22"/>
          <w:u w:val="single"/>
        </w:rPr>
      </w:pPr>
      <w:r w:rsidRPr="008E6E16">
        <w:rPr>
          <w:bCs/>
          <w:sz w:val="22"/>
          <w:szCs w:val="22"/>
          <w:highlight w:val="yellow"/>
        </w:rPr>
        <w:fldChar w:fldCharType="end"/>
      </w:r>
      <w:r w:rsidRPr="00D55DD5">
        <w:rPr>
          <w:bCs/>
          <w:sz w:val="22"/>
          <w:szCs w:val="22"/>
        </w:rPr>
        <w:t>Sam Porritt</w:t>
      </w:r>
      <w:r w:rsidRPr="00D55DD5">
        <w:rPr>
          <w:bCs/>
          <w:sz w:val="22"/>
          <w:szCs w:val="22"/>
        </w:rPr>
        <w:tab/>
      </w:r>
      <w:r w:rsidRPr="00D55DD5">
        <w:rPr>
          <w:bCs/>
          <w:sz w:val="22"/>
          <w:szCs w:val="22"/>
        </w:rPr>
        <w:tab/>
        <w:t xml:space="preserve">  Falling Forward Foundation</w:t>
      </w:r>
      <w:r w:rsidRPr="00D55DD5">
        <w:rPr>
          <w:bCs/>
          <w:sz w:val="22"/>
          <w:szCs w:val="22"/>
        </w:rPr>
        <w:tab/>
        <w:t xml:space="preserve">                          </w:t>
      </w:r>
      <w:hyperlink r:id="rId15" w:history="1">
        <w:r w:rsidRPr="00D55DD5">
          <w:rPr>
            <w:rStyle w:val="Hyperlink"/>
            <w:bCs/>
            <w:sz w:val="22"/>
            <w:szCs w:val="22"/>
          </w:rPr>
          <w:t>fallingforwardfoundation@gmail.com</w:t>
        </w:r>
      </w:hyperlink>
    </w:p>
    <w:p w:rsidR="00D55DD5" w:rsidRPr="00D55DD5" w:rsidRDefault="00D55DD5" w:rsidP="00D55DD5">
      <w:pPr>
        <w:autoSpaceDE w:val="0"/>
        <w:autoSpaceDN w:val="0"/>
        <w:adjustRightInd w:val="0"/>
        <w:rPr>
          <w:b/>
          <w:bCs/>
          <w:color w:val="000000"/>
          <w:sz w:val="22"/>
          <w:szCs w:val="22"/>
          <w:highlight w:val="yellow"/>
          <w:u w:val="single"/>
        </w:rPr>
      </w:pPr>
    </w:p>
    <w:p w:rsidR="00D55DD5" w:rsidRPr="00D55DD5" w:rsidRDefault="00D55DD5" w:rsidP="00D55DD5">
      <w:pPr>
        <w:autoSpaceDE w:val="0"/>
        <w:autoSpaceDN w:val="0"/>
        <w:adjustRightInd w:val="0"/>
        <w:rPr>
          <w:color w:val="000000"/>
          <w:sz w:val="22"/>
          <w:szCs w:val="22"/>
          <w:u w:val="single"/>
        </w:rPr>
      </w:pPr>
      <w:r w:rsidRPr="00D55DD5">
        <w:rPr>
          <w:b/>
          <w:bCs/>
          <w:color w:val="000000"/>
          <w:sz w:val="22"/>
          <w:szCs w:val="22"/>
          <w:u w:val="single"/>
        </w:rPr>
        <w:t xml:space="preserve">Endorsing Organizations </w:t>
      </w:r>
    </w:p>
    <w:p w:rsidR="00D55DD5" w:rsidRPr="00D55DD5" w:rsidRDefault="00D55DD5" w:rsidP="00D55DD5">
      <w:pPr>
        <w:rPr>
          <w:sz w:val="22"/>
          <w:szCs w:val="22"/>
        </w:rPr>
      </w:pPr>
      <w:r w:rsidRPr="00D55DD5">
        <w:rPr>
          <w:sz w:val="22"/>
          <w:szCs w:val="22"/>
          <w:highlight w:val="yellow"/>
        </w:rPr>
        <w:t>[to be included in sign-on process]</w:t>
      </w:r>
    </w:p>
    <w:p w:rsidR="00D55DD5" w:rsidRDefault="00D55DD5" w:rsidP="00D55DD5">
      <w:r w:rsidRPr="00D55DD5">
        <w:rPr>
          <w:highlight w:val="yellow"/>
        </w:rPr>
        <w:t xml:space="preserve"> </w:t>
      </w:r>
    </w:p>
    <w:sectPr w:rsidR="00D55DD5" w:rsidSect="00897480">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C8D" w:rsidRDefault="00671C8D" w:rsidP="003F7DE2">
      <w:r>
        <w:separator/>
      </w:r>
    </w:p>
  </w:endnote>
  <w:endnote w:type="continuationSeparator" w:id="0">
    <w:p w:rsidR="00671C8D" w:rsidRDefault="00671C8D" w:rsidP="003F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1C3" w:rsidRPr="003F7DE2" w:rsidRDefault="00CA21C3" w:rsidP="003F7DE2">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1C3" w:rsidRPr="008D20D0" w:rsidRDefault="00CA21C3">
    <w:pPr>
      <w:pStyle w:val="Footer"/>
      <w:jc w:val="center"/>
    </w:pPr>
    <w:r w:rsidRPr="008D20D0">
      <w:fldChar w:fldCharType="begin"/>
    </w:r>
    <w:r w:rsidRPr="008D20D0">
      <w:instrText xml:space="preserve"> PAGE   \* MERGEFORMAT </w:instrText>
    </w:r>
    <w:r w:rsidRPr="008D20D0">
      <w:fldChar w:fldCharType="separate"/>
    </w:r>
    <w:r w:rsidR="009C4174">
      <w:rPr>
        <w:noProof/>
      </w:rPr>
      <w:t>3</w:t>
    </w:r>
    <w:r w:rsidRPr="008D20D0">
      <w:fldChar w:fldCharType="end"/>
    </w:r>
  </w:p>
  <w:p w:rsidR="00CA21C3" w:rsidRPr="008D20D0" w:rsidRDefault="00CA21C3" w:rsidP="003F7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554" w:rsidRDefault="00317554">
    <w:pPr>
      <w:pStyle w:val="Footer"/>
      <w:jc w:val="center"/>
    </w:pPr>
    <w:r>
      <w:fldChar w:fldCharType="begin"/>
    </w:r>
    <w:r>
      <w:instrText xml:space="preserve"> PAGE   \* MERGEFORMAT </w:instrText>
    </w:r>
    <w:r>
      <w:fldChar w:fldCharType="separate"/>
    </w:r>
    <w:r w:rsidR="009C4174">
      <w:rPr>
        <w:noProof/>
      </w:rPr>
      <w:t>1</w:t>
    </w:r>
    <w:r>
      <w:rPr>
        <w:noProof/>
      </w:rPr>
      <w:fldChar w:fldCharType="end"/>
    </w:r>
  </w:p>
  <w:p w:rsidR="00CA21C3" w:rsidRPr="008D20D0" w:rsidRDefault="00CA21C3" w:rsidP="003F7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C8D" w:rsidRDefault="00671C8D" w:rsidP="003F7DE2">
      <w:pPr>
        <w:rPr>
          <w:noProof/>
        </w:rPr>
      </w:pPr>
      <w:r>
        <w:rPr>
          <w:noProof/>
        </w:rPr>
        <w:separator/>
      </w:r>
    </w:p>
  </w:footnote>
  <w:footnote w:type="continuationSeparator" w:id="0">
    <w:p w:rsidR="00671C8D" w:rsidRDefault="00671C8D" w:rsidP="003F7DE2">
      <w:r>
        <w:continuationSeparator/>
      </w:r>
    </w:p>
  </w:footnote>
  <w:footnote w:id="1">
    <w:p w:rsidR="007F79BF" w:rsidRPr="00B70D8D" w:rsidRDefault="007F79BF" w:rsidP="007F79BF">
      <w:pPr>
        <w:pStyle w:val="FootnoteText"/>
      </w:pPr>
      <w:r w:rsidRPr="00B70D8D">
        <w:rPr>
          <w:rStyle w:val="FootnoteReference"/>
        </w:rPr>
        <w:footnoteRef/>
      </w:r>
      <w:r w:rsidRPr="00B70D8D">
        <w:t xml:space="preserve"> CMS Medicare Learning Network, </w:t>
      </w:r>
      <w:r w:rsidRPr="0023202F">
        <w:rPr>
          <w:i/>
        </w:rPr>
        <w:t>Clarification of Patient Discharge Status Codes and Hospital Transfer Policies</w:t>
      </w:r>
      <w:r>
        <w:t>,</w:t>
      </w:r>
      <w:r w:rsidRPr="00B70D8D">
        <w:t xml:space="preserve"> </w:t>
      </w:r>
      <w:r w:rsidRPr="0023202F">
        <w:rPr>
          <w:smallCaps/>
        </w:rPr>
        <w:t>MLN Matters N</w:t>
      </w:r>
      <w:r>
        <w:rPr>
          <w:smallCaps/>
        </w:rPr>
        <w:t>o.</w:t>
      </w:r>
      <w:r w:rsidRPr="00B70D8D">
        <w:t xml:space="preserve"> SE0801</w:t>
      </w:r>
      <w:r>
        <w:t xml:space="preserve">, </w:t>
      </w:r>
      <w:r w:rsidRPr="0023202F">
        <w:t>https://www.cms.gov/Outreach-and-Education/Medicare-Learning-Network-MLN/MLNMattersArticles/downloads/SE0801.pdf</w:t>
      </w:r>
      <w:r w:rsidRPr="00B70D8D">
        <w:t xml:space="preserve"> (updated Mar. 6,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D5" w:rsidRDefault="00D55D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1C3" w:rsidRDefault="00CA21C3" w:rsidP="0089748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1C3" w:rsidRPr="00AB68B2" w:rsidRDefault="00CD7F7E" w:rsidP="004D350D">
    <w:pPr>
      <w:pStyle w:val="Header"/>
      <w:jc w:val="center"/>
      <w:rPr>
        <w:lang w:val="en-US"/>
      </w:rPr>
    </w:pPr>
    <w:r w:rsidRPr="00B811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alition to Preserve Rehabilitation (CPR)" style="width:176.85pt;height:118.1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5E3D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16042B"/>
    <w:multiLevelType w:val="hybridMultilevel"/>
    <w:tmpl w:val="4C46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87BB2"/>
    <w:multiLevelType w:val="hybridMultilevel"/>
    <w:tmpl w:val="B9B014B4"/>
    <w:lvl w:ilvl="0" w:tplc="BF803F9A">
      <w:start w:val="1"/>
      <w:numFmt w:val="bullet"/>
      <w:pStyle w:val="NormalLatinGaramond"/>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51551E"/>
    <w:multiLevelType w:val="hybridMultilevel"/>
    <w:tmpl w:val="4BC07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4D0C82"/>
    <w:multiLevelType w:val="hybridMultilevel"/>
    <w:tmpl w:val="202E0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1011C"/>
    <w:multiLevelType w:val="hybridMultilevel"/>
    <w:tmpl w:val="1B749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E6486"/>
    <w:multiLevelType w:val="hybridMultilevel"/>
    <w:tmpl w:val="BA42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B6879"/>
    <w:multiLevelType w:val="hybridMultilevel"/>
    <w:tmpl w:val="009C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902D1"/>
    <w:multiLevelType w:val="hybridMultilevel"/>
    <w:tmpl w:val="0E8EDE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CCA0D01"/>
    <w:multiLevelType w:val="hybridMultilevel"/>
    <w:tmpl w:val="FCDA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236D4"/>
    <w:multiLevelType w:val="hybridMultilevel"/>
    <w:tmpl w:val="673AB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17761AD"/>
    <w:multiLevelType w:val="hybridMultilevel"/>
    <w:tmpl w:val="3C8A0C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B70622"/>
    <w:multiLevelType w:val="hybridMultilevel"/>
    <w:tmpl w:val="F794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35910"/>
    <w:multiLevelType w:val="hybridMultilevel"/>
    <w:tmpl w:val="1CB250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D358B"/>
    <w:multiLevelType w:val="hybridMultilevel"/>
    <w:tmpl w:val="07F20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BC45A5"/>
    <w:multiLevelType w:val="hybridMultilevel"/>
    <w:tmpl w:val="35FED9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56D28A5"/>
    <w:multiLevelType w:val="hybridMultilevel"/>
    <w:tmpl w:val="077C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004EFD"/>
    <w:multiLevelType w:val="hybridMultilevel"/>
    <w:tmpl w:val="127C7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A6A1B"/>
    <w:multiLevelType w:val="hybridMultilevel"/>
    <w:tmpl w:val="750CD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A2CCB"/>
    <w:multiLevelType w:val="hybridMultilevel"/>
    <w:tmpl w:val="CE2C1F80"/>
    <w:lvl w:ilvl="0" w:tplc="65865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9307CE"/>
    <w:multiLevelType w:val="hybridMultilevel"/>
    <w:tmpl w:val="7136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BB5A2E"/>
    <w:multiLevelType w:val="hybridMultilevel"/>
    <w:tmpl w:val="AD705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500CB0"/>
    <w:multiLevelType w:val="hybridMultilevel"/>
    <w:tmpl w:val="F9A00A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A287CAC"/>
    <w:multiLevelType w:val="hybridMultilevel"/>
    <w:tmpl w:val="C7F21B9C"/>
    <w:lvl w:ilvl="0" w:tplc="524C9334">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F164FC"/>
    <w:multiLevelType w:val="hybridMultilevel"/>
    <w:tmpl w:val="FD8A6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E5DB1"/>
    <w:multiLevelType w:val="hybridMultilevel"/>
    <w:tmpl w:val="58C2A0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F906052"/>
    <w:multiLevelType w:val="hybridMultilevel"/>
    <w:tmpl w:val="FFFC0F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0BC4961"/>
    <w:multiLevelType w:val="hybridMultilevel"/>
    <w:tmpl w:val="C7F21B9C"/>
    <w:lvl w:ilvl="0" w:tplc="524C9334">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2B30A1"/>
    <w:multiLevelType w:val="hybridMultilevel"/>
    <w:tmpl w:val="5A026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226589"/>
    <w:multiLevelType w:val="hybridMultilevel"/>
    <w:tmpl w:val="F9722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222414"/>
    <w:multiLevelType w:val="hybridMultilevel"/>
    <w:tmpl w:val="BBAA1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297431"/>
    <w:multiLevelType w:val="hybridMultilevel"/>
    <w:tmpl w:val="9832382C"/>
    <w:lvl w:ilvl="0" w:tplc="04090001">
      <w:start w:val="1"/>
      <w:numFmt w:val="bullet"/>
      <w:lvlText w:val=""/>
      <w:lvlJc w:val="left"/>
      <w:pPr>
        <w:ind w:left="76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B8C38C7"/>
    <w:multiLevelType w:val="hybridMultilevel"/>
    <w:tmpl w:val="76FAC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A15028"/>
    <w:multiLevelType w:val="hybridMultilevel"/>
    <w:tmpl w:val="53C05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BF57E8"/>
    <w:multiLevelType w:val="hybridMultilevel"/>
    <w:tmpl w:val="5E88F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625888"/>
    <w:multiLevelType w:val="hybridMultilevel"/>
    <w:tmpl w:val="0B423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8D7D97"/>
    <w:multiLevelType w:val="hybridMultilevel"/>
    <w:tmpl w:val="250C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0C529F"/>
    <w:multiLevelType w:val="hybridMultilevel"/>
    <w:tmpl w:val="E67809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E4E39C9"/>
    <w:multiLevelType w:val="hybridMultilevel"/>
    <w:tmpl w:val="3890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5"/>
  </w:num>
  <w:num w:numId="4">
    <w:abstractNumId w:val="6"/>
  </w:num>
  <w:num w:numId="5">
    <w:abstractNumId w:val="1"/>
  </w:num>
  <w:num w:numId="6">
    <w:abstractNumId w:val="24"/>
  </w:num>
  <w:num w:numId="7">
    <w:abstractNumId w:val="9"/>
  </w:num>
  <w:num w:numId="8">
    <w:abstractNumId w:val="20"/>
  </w:num>
  <w:num w:numId="9">
    <w:abstractNumId w:val="16"/>
  </w:num>
  <w:num w:numId="10">
    <w:abstractNumId w:val="19"/>
  </w:num>
  <w:num w:numId="11">
    <w:abstractNumId w:val="10"/>
    <w:lvlOverride w:ilvl="0"/>
    <w:lvlOverride w:ilvl="1"/>
    <w:lvlOverride w:ilvl="2"/>
    <w:lvlOverride w:ilvl="3"/>
    <w:lvlOverride w:ilvl="4"/>
    <w:lvlOverride w:ilvl="5"/>
    <w:lvlOverride w:ilvl="6"/>
    <w:lvlOverride w:ilvl="7"/>
    <w:lvlOverride w:ilvl="8"/>
  </w:num>
  <w:num w:numId="12">
    <w:abstractNumId w:val="14"/>
  </w:num>
  <w:num w:numId="13">
    <w:abstractNumId w:val="3"/>
  </w:num>
  <w:num w:numId="14">
    <w:abstractNumId w:val="38"/>
  </w:num>
  <w:num w:numId="15">
    <w:abstractNumId w:val="0"/>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8"/>
  </w:num>
  <w:num w:numId="24">
    <w:abstractNumId w:val="21"/>
  </w:num>
  <w:num w:numId="25">
    <w:abstractNumId w:val="32"/>
  </w:num>
  <w:num w:numId="26">
    <w:abstractNumId w:val="30"/>
  </w:num>
  <w:num w:numId="27">
    <w:abstractNumId w:val="12"/>
  </w:num>
  <w:num w:numId="28">
    <w:abstractNumId w:val="4"/>
  </w:num>
  <w:num w:numId="29">
    <w:abstractNumId w:val="7"/>
  </w:num>
  <w:num w:numId="30">
    <w:abstractNumId w:val="18"/>
  </w:num>
  <w:num w:numId="31">
    <w:abstractNumId w:val="13"/>
  </w:num>
  <w:num w:numId="32">
    <w:abstractNumId w:val="35"/>
  </w:num>
  <w:num w:numId="33">
    <w:abstractNumId w:val="29"/>
  </w:num>
  <w:num w:numId="34">
    <w:abstractNumId w:val="8"/>
  </w:num>
  <w:num w:numId="35">
    <w:abstractNumId w:val="23"/>
  </w:num>
  <w:num w:numId="36">
    <w:abstractNumId w:val="27"/>
  </w:num>
  <w:num w:numId="37">
    <w:abstractNumId w:val="33"/>
  </w:num>
  <w:num w:numId="38">
    <w:abstractNumId w:val="34"/>
  </w:num>
  <w:num w:numId="39">
    <w:abstractNumId w:val="11"/>
  </w:num>
  <w:num w:numId="4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7B5"/>
    <w:rsid w:val="0000052C"/>
    <w:rsid w:val="00000D92"/>
    <w:rsid w:val="00004132"/>
    <w:rsid w:val="00010469"/>
    <w:rsid w:val="00011DE9"/>
    <w:rsid w:val="00012EC3"/>
    <w:rsid w:val="00013C21"/>
    <w:rsid w:val="00020D7B"/>
    <w:rsid w:val="00021C1A"/>
    <w:rsid w:val="00022F6C"/>
    <w:rsid w:val="00023802"/>
    <w:rsid w:val="00023B11"/>
    <w:rsid w:val="00027AD4"/>
    <w:rsid w:val="00041EC5"/>
    <w:rsid w:val="000454E3"/>
    <w:rsid w:val="00047B34"/>
    <w:rsid w:val="000529CC"/>
    <w:rsid w:val="00053119"/>
    <w:rsid w:val="0006258C"/>
    <w:rsid w:val="0006554B"/>
    <w:rsid w:val="00065ECC"/>
    <w:rsid w:val="0007129C"/>
    <w:rsid w:val="000712DB"/>
    <w:rsid w:val="00076866"/>
    <w:rsid w:val="0008382E"/>
    <w:rsid w:val="000845B8"/>
    <w:rsid w:val="00085A8B"/>
    <w:rsid w:val="00092856"/>
    <w:rsid w:val="00093170"/>
    <w:rsid w:val="00093271"/>
    <w:rsid w:val="000A6290"/>
    <w:rsid w:val="000B0255"/>
    <w:rsid w:val="000C0461"/>
    <w:rsid w:val="000C0AC3"/>
    <w:rsid w:val="000C2A37"/>
    <w:rsid w:val="000D2783"/>
    <w:rsid w:val="000D27D3"/>
    <w:rsid w:val="000D4308"/>
    <w:rsid w:val="000D6251"/>
    <w:rsid w:val="000E0595"/>
    <w:rsid w:val="000E19FB"/>
    <w:rsid w:val="000E237D"/>
    <w:rsid w:val="000E29B1"/>
    <w:rsid w:val="000E3A36"/>
    <w:rsid w:val="000E4A45"/>
    <w:rsid w:val="000E5A78"/>
    <w:rsid w:val="000F05B0"/>
    <w:rsid w:val="000F0D9C"/>
    <w:rsid w:val="000F108C"/>
    <w:rsid w:val="000F18E4"/>
    <w:rsid w:val="000F2784"/>
    <w:rsid w:val="000F2FBB"/>
    <w:rsid w:val="00100473"/>
    <w:rsid w:val="00106A17"/>
    <w:rsid w:val="00106E7F"/>
    <w:rsid w:val="001076AB"/>
    <w:rsid w:val="00107DED"/>
    <w:rsid w:val="001112B4"/>
    <w:rsid w:val="0011476F"/>
    <w:rsid w:val="00121840"/>
    <w:rsid w:val="0012298A"/>
    <w:rsid w:val="00124691"/>
    <w:rsid w:val="001246C8"/>
    <w:rsid w:val="00131DE2"/>
    <w:rsid w:val="00134261"/>
    <w:rsid w:val="00135136"/>
    <w:rsid w:val="001356E0"/>
    <w:rsid w:val="00143107"/>
    <w:rsid w:val="00143FC1"/>
    <w:rsid w:val="00146363"/>
    <w:rsid w:val="00146AAD"/>
    <w:rsid w:val="0014709A"/>
    <w:rsid w:val="0015549F"/>
    <w:rsid w:val="001561CF"/>
    <w:rsid w:val="001566AA"/>
    <w:rsid w:val="00164B33"/>
    <w:rsid w:val="00165F0D"/>
    <w:rsid w:val="00167586"/>
    <w:rsid w:val="001701C9"/>
    <w:rsid w:val="001713A1"/>
    <w:rsid w:val="00171483"/>
    <w:rsid w:val="00172407"/>
    <w:rsid w:val="001731F2"/>
    <w:rsid w:val="001734D1"/>
    <w:rsid w:val="00177AC6"/>
    <w:rsid w:val="00182363"/>
    <w:rsid w:val="00182BC4"/>
    <w:rsid w:val="00182CD8"/>
    <w:rsid w:val="0019555E"/>
    <w:rsid w:val="001B0A96"/>
    <w:rsid w:val="001B33EC"/>
    <w:rsid w:val="001B570D"/>
    <w:rsid w:val="001B7A82"/>
    <w:rsid w:val="001C3EB8"/>
    <w:rsid w:val="001C60F0"/>
    <w:rsid w:val="001D2287"/>
    <w:rsid w:val="001D375F"/>
    <w:rsid w:val="001D511F"/>
    <w:rsid w:val="001E7539"/>
    <w:rsid w:val="001E7903"/>
    <w:rsid w:val="001F0730"/>
    <w:rsid w:val="001F07B1"/>
    <w:rsid w:val="001F273C"/>
    <w:rsid w:val="001F3221"/>
    <w:rsid w:val="00203EFA"/>
    <w:rsid w:val="00205F13"/>
    <w:rsid w:val="002153A5"/>
    <w:rsid w:val="0021631E"/>
    <w:rsid w:val="0021747F"/>
    <w:rsid w:val="00220AB0"/>
    <w:rsid w:val="0022319B"/>
    <w:rsid w:val="002304C6"/>
    <w:rsid w:val="00232599"/>
    <w:rsid w:val="00233758"/>
    <w:rsid w:val="00233F95"/>
    <w:rsid w:val="002368E3"/>
    <w:rsid w:val="002437D9"/>
    <w:rsid w:val="00244606"/>
    <w:rsid w:val="0024640B"/>
    <w:rsid w:val="00246D85"/>
    <w:rsid w:val="002509A0"/>
    <w:rsid w:val="0025297B"/>
    <w:rsid w:val="00255E8F"/>
    <w:rsid w:val="00256F6D"/>
    <w:rsid w:val="002623A1"/>
    <w:rsid w:val="002648F4"/>
    <w:rsid w:val="00265D89"/>
    <w:rsid w:val="002877A9"/>
    <w:rsid w:val="002946FC"/>
    <w:rsid w:val="002966D7"/>
    <w:rsid w:val="002A3165"/>
    <w:rsid w:val="002A3E3C"/>
    <w:rsid w:val="002B2771"/>
    <w:rsid w:val="002B4A13"/>
    <w:rsid w:val="002C16F9"/>
    <w:rsid w:val="002D14E7"/>
    <w:rsid w:val="002D210D"/>
    <w:rsid w:val="002D2E90"/>
    <w:rsid w:val="002D3B05"/>
    <w:rsid w:val="002D4445"/>
    <w:rsid w:val="002E1DA9"/>
    <w:rsid w:val="002E1DE2"/>
    <w:rsid w:val="002E2914"/>
    <w:rsid w:val="002E740C"/>
    <w:rsid w:val="002F005B"/>
    <w:rsid w:val="0030127B"/>
    <w:rsid w:val="003047C0"/>
    <w:rsid w:val="00304C57"/>
    <w:rsid w:val="003052BA"/>
    <w:rsid w:val="00306448"/>
    <w:rsid w:val="00307A25"/>
    <w:rsid w:val="003118FF"/>
    <w:rsid w:val="00317554"/>
    <w:rsid w:val="00322E7B"/>
    <w:rsid w:val="00332073"/>
    <w:rsid w:val="00337780"/>
    <w:rsid w:val="00341DFD"/>
    <w:rsid w:val="00341E9D"/>
    <w:rsid w:val="00350162"/>
    <w:rsid w:val="0035188F"/>
    <w:rsid w:val="003551F3"/>
    <w:rsid w:val="00356373"/>
    <w:rsid w:val="00356F75"/>
    <w:rsid w:val="00361AC6"/>
    <w:rsid w:val="00362010"/>
    <w:rsid w:val="003654AB"/>
    <w:rsid w:val="003734C2"/>
    <w:rsid w:val="00373A10"/>
    <w:rsid w:val="00374077"/>
    <w:rsid w:val="00376D3E"/>
    <w:rsid w:val="003772F4"/>
    <w:rsid w:val="0038051F"/>
    <w:rsid w:val="00380751"/>
    <w:rsid w:val="0038330F"/>
    <w:rsid w:val="00383E9E"/>
    <w:rsid w:val="00384F46"/>
    <w:rsid w:val="0038648F"/>
    <w:rsid w:val="0038786D"/>
    <w:rsid w:val="00387F78"/>
    <w:rsid w:val="003945FB"/>
    <w:rsid w:val="00394E16"/>
    <w:rsid w:val="003A06DD"/>
    <w:rsid w:val="003A297A"/>
    <w:rsid w:val="003A4E42"/>
    <w:rsid w:val="003A6CA5"/>
    <w:rsid w:val="003B167C"/>
    <w:rsid w:val="003B1908"/>
    <w:rsid w:val="003B6F86"/>
    <w:rsid w:val="003B7A5C"/>
    <w:rsid w:val="003C08D8"/>
    <w:rsid w:val="003C5BBF"/>
    <w:rsid w:val="003D0882"/>
    <w:rsid w:val="003D17ED"/>
    <w:rsid w:val="003D5798"/>
    <w:rsid w:val="003D58D9"/>
    <w:rsid w:val="003D71D3"/>
    <w:rsid w:val="003E39B8"/>
    <w:rsid w:val="003E5ECF"/>
    <w:rsid w:val="003E60B4"/>
    <w:rsid w:val="003E77C5"/>
    <w:rsid w:val="003F06E4"/>
    <w:rsid w:val="003F1EF3"/>
    <w:rsid w:val="003F3476"/>
    <w:rsid w:val="003F6AB4"/>
    <w:rsid w:val="003F72D3"/>
    <w:rsid w:val="003F7B91"/>
    <w:rsid w:val="003F7DE2"/>
    <w:rsid w:val="00401772"/>
    <w:rsid w:val="00403F99"/>
    <w:rsid w:val="0040630E"/>
    <w:rsid w:val="0041251E"/>
    <w:rsid w:val="00415FCF"/>
    <w:rsid w:val="00420AB0"/>
    <w:rsid w:val="0042182E"/>
    <w:rsid w:val="004220D8"/>
    <w:rsid w:val="0042314D"/>
    <w:rsid w:val="00430789"/>
    <w:rsid w:val="00432B9E"/>
    <w:rsid w:val="0043356F"/>
    <w:rsid w:val="00444681"/>
    <w:rsid w:val="004512E9"/>
    <w:rsid w:val="00451D3C"/>
    <w:rsid w:val="004576C4"/>
    <w:rsid w:val="004608CC"/>
    <w:rsid w:val="00460FFA"/>
    <w:rsid w:val="00461448"/>
    <w:rsid w:val="00463089"/>
    <w:rsid w:val="00463C0D"/>
    <w:rsid w:val="00465733"/>
    <w:rsid w:val="00466D9F"/>
    <w:rsid w:val="00471A56"/>
    <w:rsid w:val="00471BD5"/>
    <w:rsid w:val="00472992"/>
    <w:rsid w:val="0047635F"/>
    <w:rsid w:val="004769EA"/>
    <w:rsid w:val="00482504"/>
    <w:rsid w:val="00483EF9"/>
    <w:rsid w:val="004959AA"/>
    <w:rsid w:val="004A471F"/>
    <w:rsid w:val="004B7792"/>
    <w:rsid w:val="004B7DA1"/>
    <w:rsid w:val="004D0BAD"/>
    <w:rsid w:val="004D350D"/>
    <w:rsid w:val="004D3C65"/>
    <w:rsid w:val="004D7A61"/>
    <w:rsid w:val="004E2B9B"/>
    <w:rsid w:val="004E2E84"/>
    <w:rsid w:val="004F4A53"/>
    <w:rsid w:val="004F4C1E"/>
    <w:rsid w:val="004F6BD6"/>
    <w:rsid w:val="004F6FA9"/>
    <w:rsid w:val="005011A2"/>
    <w:rsid w:val="0050335A"/>
    <w:rsid w:val="00506752"/>
    <w:rsid w:val="00510AE2"/>
    <w:rsid w:val="00511EF3"/>
    <w:rsid w:val="005120E1"/>
    <w:rsid w:val="00512C57"/>
    <w:rsid w:val="00514C26"/>
    <w:rsid w:val="00516913"/>
    <w:rsid w:val="00516D4E"/>
    <w:rsid w:val="00523DC0"/>
    <w:rsid w:val="0052510E"/>
    <w:rsid w:val="00531134"/>
    <w:rsid w:val="00532C05"/>
    <w:rsid w:val="005361D5"/>
    <w:rsid w:val="00540EEE"/>
    <w:rsid w:val="00541276"/>
    <w:rsid w:val="00543427"/>
    <w:rsid w:val="0054489A"/>
    <w:rsid w:val="00545F6B"/>
    <w:rsid w:val="00547066"/>
    <w:rsid w:val="00550F34"/>
    <w:rsid w:val="00551BCE"/>
    <w:rsid w:val="00553A19"/>
    <w:rsid w:val="00553A86"/>
    <w:rsid w:val="00553F8E"/>
    <w:rsid w:val="00554D37"/>
    <w:rsid w:val="00555690"/>
    <w:rsid w:val="00556D68"/>
    <w:rsid w:val="00562E66"/>
    <w:rsid w:val="00563364"/>
    <w:rsid w:val="005676A3"/>
    <w:rsid w:val="005716F4"/>
    <w:rsid w:val="00571982"/>
    <w:rsid w:val="005719BF"/>
    <w:rsid w:val="00575119"/>
    <w:rsid w:val="0057543E"/>
    <w:rsid w:val="00585A89"/>
    <w:rsid w:val="00585DB0"/>
    <w:rsid w:val="0059020E"/>
    <w:rsid w:val="00592894"/>
    <w:rsid w:val="00594B92"/>
    <w:rsid w:val="00597089"/>
    <w:rsid w:val="005A0E88"/>
    <w:rsid w:val="005A295B"/>
    <w:rsid w:val="005A5150"/>
    <w:rsid w:val="005A64FD"/>
    <w:rsid w:val="005A65AA"/>
    <w:rsid w:val="005A76B1"/>
    <w:rsid w:val="005B1E3D"/>
    <w:rsid w:val="005B5B71"/>
    <w:rsid w:val="005C0725"/>
    <w:rsid w:val="005D1308"/>
    <w:rsid w:val="005D5746"/>
    <w:rsid w:val="005D5D40"/>
    <w:rsid w:val="005D64AA"/>
    <w:rsid w:val="005D6C88"/>
    <w:rsid w:val="005D726C"/>
    <w:rsid w:val="005E09E5"/>
    <w:rsid w:val="005E29FF"/>
    <w:rsid w:val="005E2F93"/>
    <w:rsid w:val="005F0F4F"/>
    <w:rsid w:val="005F27D3"/>
    <w:rsid w:val="005F3BFB"/>
    <w:rsid w:val="005F6C4B"/>
    <w:rsid w:val="00601B51"/>
    <w:rsid w:val="006029AD"/>
    <w:rsid w:val="00602AF8"/>
    <w:rsid w:val="006052A1"/>
    <w:rsid w:val="00605D69"/>
    <w:rsid w:val="006137DF"/>
    <w:rsid w:val="00614769"/>
    <w:rsid w:val="0061560C"/>
    <w:rsid w:val="00615BB4"/>
    <w:rsid w:val="00620187"/>
    <w:rsid w:val="00620EA4"/>
    <w:rsid w:val="00621F85"/>
    <w:rsid w:val="00624965"/>
    <w:rsid w:val="00624A2F"/>
    <w:rsid w:val="00624C2C"/>
    <w:rsid w:val="0063011D"/>
    <w:rsid w:val="00630138"/>
    <w:rsid w:val="00630A39"/>
    <w:rsid w:val="00633C2D"/>
    <w:rsid w:val="00635B3C"/>
    <w:rsid w:val="00637BDE"/>
    <w:rsid w:val="00637D16"/>
    <w:rsid w:val="006403E4"/>
    <w:rsid w:val="0064315B"/>
    <w:rsid w:val="006432BA"/>
    <w:rsid w:val="00644223"/>
    <w:rsid w:val="006455C4"/>
    <w:rsid w:val="006455F9"/>
    <w:rsid w:val="006467F9"/>
    <w:rsid w:val="0064762A"/>
    <w:rsid w:val="00650534"/>
    <w:rsid w:val="006529AF"/>
    <w:rsid w:val="00655D06"/>
    <w:rsid w:val="006566A2"/>
    <w:rsid w:val="00661223"/>
    <w:rsid w:val="00661ADB"/>
    <w:rsid w:val="00661B69"/>
    <w:rsid w:val="00663DD2"/>
    <w:rsid w:val="00671C8D"/>
    <w:rsid w:val="00673BCE"/>
    <w:rsid w:val="006754AB"/>
    <w:rsid w:val="00677153"/>
    <w:rsid w:val="006810BC"/>
    <w:rsid w:val="006929B9"/>
    <w:rsid w:val="00695C80"/>
    <w:rsid w:val="00697943"/>
    <w:rsid w:val="006A05F8"/>
    <w:rsid w:val="006A17E8"/>
    <w:rsid w:val="006A1E06"/>
    <w:rsid w:val="006A214B"/>
    <w:rsid w:val="006A2280"/>
    <w:rsid w:val="006A317E"/>
    <w:rsid w:val="006A5C4D"/>
    <w:rsid w:val="006B1BC1"/>
    <w:rsid w:val="006B38D8"/>
    <w:rsid w:val="006B4B23"/>
    <w:rsid w:val="006B73F5"/>
    <w:rsid w:val="006B792C"/>
    <w:rsid w:val="006B7F12"/>
    <w:rsid w:val="006C1D44"/>
    <w:rsid w:val="006C5564"/>
    <w:rsid w:val="006C602D"/>
    <w:rsid w:val="006D1408"/>
    <w:rsid w:val="006E0F61"/>
    <w:rsid w:val="006E5675"/>
    <w:rsid w:val="006F57B0"/>
    <w:rsid w:val="006F78B9"/>
    <w:rsid w:val="007008EE"/>
    <w:rsid w:val="00704F7C"/>
    <w:rsid w:val="00712DD8"/>
    <w:rsid w:val="00713D61"/>
    <w:rsid w:val="00720E0E"/>
    <w:rsid w:val="00723034"/>
    <w:rsid w:val="007242AE"/>
    <w:rsid w:val="007313B8"/>
    <w:rsid w:val="0073215A"/>
    <w:rsid w:val="00732F4E"/>
    <w:rsid w:val="007353DB"/>
    <w:rsid w:val="00735AC1"/>
    <w:rsid w:val="0074099D"/>
    <w:rsid w:val="00741C52"/>
    <w:rsid w:val="00742BBD"/>
    <w:rsid w:val="007457D7"/>
    <w:rsid w:val="00753E07"/>
    <w:rsid w:val="007541FE"/>
    <w:rsid w:val="00754DD1"/>
    <w:rsid w:val="00756563"/>
    <w:rsid w:val="00756784"/>
    <w:rsid w:val="00757062"/>
    <w:rsid w:val="007577DA"/>
    <w:rsid w:val="00761110"/>
    <w:rsid w:val="00764A7A"/>
    <w:rsid w:val="00765ACF"/>
    <w:rsid w:val="00767891"/>
    <w:rsid w:val="00771BE3"/>
    <w:rsid w:val="00772AA5"/>
    <w:rsid w:val="007757B5"/>
    <w:rsid w:val="007767D7"/>
    <w:rsid w:val="00793338"/>
    <w:rsid w:val="00796B40"/>
    <w:rsid w:val="007974F3"/>
    <w:rsid w:val="007B33F9"/>
    <w:rsid w:val="007B6977"/>
    <w:rsid w:val="007B7766"/>
    <w:rsid w:val="007C2F7A"/>
    <w:rsid w:val="007D01DF"/>
    <w:rsid w:val="007D6EB6"/>
    <w:rsid w:val="007E1712"/>
    <w:rsid w:val="007E1DDC"/>
    <w:rsid w:val="007E257D"/>
    <w:rsid w:val="007E3E94"/>
    <w:rsid w:val="007E744B"/>
    <w:rsid w:val="007F42EC"/>
    <w:rsid w:val="007F4522"/>
    <w:rsid w:val="007F4793"/>
    <w:rsid w:val="007F4DC7"/>
    <w:rsid w:val="007F6E6B"/>
    <w:rsid w:val="007F7600"/>
    <w:rsid w:val="007F79BF"/>
    <w:rsid w:val="00803CE1"/>
    <w:rsid w:val="0081399F"/>
    <w:rsid w:val="0082405F"/>
    <w:rsid w:val="0082434B"/>
    <w:rsid w:val="00826C48"/>
    <w:rsid w:val="00827280"/>
    <w:rsid w:val="0083020E"/>
    <w:rsid w:val="00830BFD"/>
    <w:rsid w:val="00830CAD"/>
    <w:rsid w:val="00832162"/>
    <w:rsid w:val="00834CC3"/>
    <w:rsid w:val="008511FB"/>
    <w:rsid w:val="00855755"/>
    <w:rsid w:val="00860929"/>
    <w:rsid w:val="00860E71"/>
    <w:rsid w:val="00861B25"/>
    <w:rsid w:val="00864A99"/>
    <w:rsid w:val="00866C6A"/>
    <w:rsid w:val="0087077A"/>
    <w:rsid w:val="00871653"/>
    <w:rsid w:val="00872BFC"/>
    <w:rsid w:val="008749F8"/>
    <w:rsid w:val="00875A46"/>
    <w:rsid w:val="00877DDF"/>
    <w:rsid w:val="00880597"/>
    <w:rsid w:val="0088128F"/>
    <w:rsid w:val="0088479C"/>
    <w:rsid w:val="00884A87"/>
    <w:rsid w:val="008860DD"/>
    <w:rsid w:val="0088620B"/>
    <w:rsid w:val="00897480"/>
    <w:rsid w:val="008A11AE"/>
    <w:rsid w:val="008A1B4C"/>
    <w:rsid w:val="008A271D"/>
    <w:rsid w:val="008A6E6E"/>
    <w:rsid w:val="008B2766"/>
    <w:rsid w:val="008B5095"/>
    <w:rsid w:val="008C1745"/>
    <w:rsid w:val="008C1A8E"/>
    <w:rsid w:val="008C3548"/>
    <w:rsid w:val="008C75BF"/>
    <w:rsid w:val="008D115D"/>
    <w:rsid w:val="008D174D"/>
    <w:rsid w:val="008D20D0"/>
    <w:rsid w:val="008D2282"/>
    <w:rsid w:val="008D5D9C"/>
    <w:rsid w:val="008D78C2"/>
    <w:rsid w:val="008E61CD"/>
    <w:rsid w:val="008E6E16"/>
    <w:rsid w:val="008F0920"/>
    <w:rsid w:val="008F1286"/>
    <w:rsid w:val="008F6FBF"/>
    <w:rsid w:val="0090057A"/>
    <w:rsid w:val="009019A5"/>
    <w:rsid w:val="00902AB9"/>
    <w:rsid w:val="00913056"/>
    <w:rsid w:val="00916A88"/>
    <w:rsid w:val="00917214"/>
    <w:rsid w:val="00923537"/>
    <w:rsid w:val="00931766"/>
    <w:rsid w:val="00945D3F"/>
    <w:rsid w:val="009474F0"/>
    <w:rsid w:val="00947692"/>
    <w:rsid w:val="00951B7F"/>
    <w:rsid w:val="0095209F"/>
    <w:rsid w:val="00952114"/>
    <w:rsid w:val="00955908"/>
    <w:rsid w:val="00961476"/>
    <w:rsid w:val="0096231C"/>
    <w:rsid w:val="00963F71"/>
    <w:rsid w:val="00966863"/>
    <w:rsid w:val="00966DEF"/>
    <w:rsid w:val="009674C5"/>
    <w:rsid w:val="00970119"/>
    <w:rsid w:val="0097020C"/>
    <w:rsid w:val="00971C9D"/>
    <w:rsid w:val="00976AF3"/>
    <w:rsid w:val="00984727"/>
    <w:rsid w:val="00990003"/>
    <w:rsid w:val="00990664"/>
    <w:rsid w:val="00990C74"/>
    <w:rsid w:val="0099223B"/>
    <w:rsid w:val="0099305B"/>
    <w:rsid w:val="009946A3"/>
    <w:rsid w:val="009950C2"/>
    <w:rsid w:val="00997411"/>
    <w:rsid w:val="0099762A"/>
    <w:rsid w:val="009A0A11"/>
    <w:rsid w:val="009A24C8"/>
    <w:rsid w:val="009A2859"/>
    <w:rsid w:val="009A606F"/>
    <w:rsid w:val="009A732A"/>
    <w:rsid w:val="009B3E8E"/>
    <w:rsid w:val="009B6B7C"/>
    <w:rsid w:val="009B6E8B"/>
    <w:rsid w:val="009B7161"/>
    <w:rsid w:val="009C1FC4"/>
    <w:rsid w:val="009C4174"/>
    <w:rsid w:val="009C5D25"/>
    <w:rsid w:val="009E0AA2"/>
    <w:rsid w:val="009E17F3"/>
    <w:rsid w:val="009E32A7"/>
    <w:rsid w:val="009E653D"/>
    <w:rsid w:val="009E7B6F"/>
    <w:rsid w:val="009F3B82"/>
    <w:rsid w:val="009F3BDA"/>
    <w:rsid w:val="009F4370"/>
    <w:rsid w:val="009F43D1"/>
    <w:rsid w:val="009F4A5D"/>
    <w:rsid w:val="00A01419"/>
    <w:rsid w:val="00A06DC1"/>
    <w:rsid w:val="00A108B0"/>
    <w:rsid w:val="00A20949"/>
    <w:rsid w:val="00A2797F"/>
    <w:rsid w:val="00A352EC"/>
    <w:rsid w:val="00A36B55"/>
    <w:rsid w:val="00A4026F"/>
    <w:rsid w:val="00A41F76"/>
    <w:rsid w:val="00A44217"/>
    <w:rsid w:val="00A45A97"/>
    <w:rsid w:val="00A45C90"/>
    <w:rsid w:val="00A52A19"/>
    <w:rsid w:val="00A55C6C"/>
    <w:rsid w:val="00A61909"/>
    <w:rsid w:val="00A61BA1"/>
    <w:rsid w:val="00A62BF2"/>
    <w:rsid w:val="00A66BB5"/>
    <w:rsid w:val="00A675F9"/>
    <w:rsid w:val="00A742D2"/>
    <w:rsid w:val="00A74C78"/>
    <w:rsid w:val="00A75C54"/>
    <w:rsid w:val="00A76F75"/>
    <w:rsid w:val="00A77671"/>
    <w:rsid w:val="00A77FE7"/>
    <w:rsid w:val="00A849DB"/>
    <w:rsid w:val="00A859F7"/>
    <w:rsid w:val="00A9285C"/>
    <w:rsid w:val="00A94A36"/>
    <w:rsid w:val="00A95BD6"/>
    <w:rsid w:val="00AA0896"/>
    <w:rsid w:val="00AA5EED"/>
    <w:rsid w:val="00AB13FE"/>
    <w:rsid w:val="00AB1436"/>
    <w:rsid w:val="00AB356C"/>
    <w:rsid w:val="00AB68B2"/>
    <w:rsid w:val="00AC217A"/>
    <w:rsid w:val="00AC4262"/>
    <w:rsid w:val="00AD5C80"/>
    <w:rsid w:val="00AD7B85"/>
    <w:rsid w:val="00AE31D7"/>
    <w:rsid w:val="00AE3530"/>
    <w:rsid w:val="00AE615D"/>
    <w:rsid w:val="00AE71DD"/>
    <w:rsid w:val="00AF0724"/>
    <w:rsid w:val="00AF28B9"/>
    <w:rsid w:val="00AF46E7"/>
    <w:rsid w:val="00B01262"/>
    <w:rsid w:val="00B03323"/>
    <w:rsid w:val="00B14572"/>
    <w:rsid w:val="00B16EDE"/>
    <w:rsid w:val="00B174FD"/>
    <w:rsid w:val="00B17CF3"/>
    <w:rsid w:val="00B20A2C"/>
    <w:rsid w:val="00B2398C"/>
    <w:rsid w:val="00B24C7E"/>
    <w:rsid w:val="00B25A78"/>
    <w:rsid w:val="00B26A80"/>
    <w:rsid w:val="00B307D2"/>
    <w:rsid w:val="00B34118"/>
    <w:rsid w:val="00B34DDF"/>
    <w:rsid w:val="00B37514"/>
    <w:rsid w:val="00B42C8F"/>
    <w:rsid w:val="00B440AF"/>
    <w:rsid w:val="00B45C51"/>
    <w:rsid w:val="00B46E08"/>
    <w:rsid w:val="00B515D9"/>
    <w:rsid w:val="00B57A8E"/>
    <w:rsid w:val="00B60EE8"/>
    <w:rsid w:val="00B618BB"/>
    <w:rsid w:val="00B62CCF"/>
    <w:rsid w:val="00B63351"/>
    <w:rsid w:val="00B63FF0"/>
    <w:rsid w:val="00B65B5A"/>
    <w:rsid w:val="00B66F06"/>
    <w:rsid w:val="00B679C0"/>
    <w:rsid w:val="00B705CD"/>
    <w:rsid w:val="00B761E6"/>
    <w:rsid w:val="00B76846"/>
    <w:rsid w:val="00B77FC7"/>
    <w:rsid w:val="00B81A30"/>
    <w:rsid w:val="00B83E6C"/>
    <w:rsid w:val="00B87BEE"/>
    <w:rsid w:val="00B90DED"/>
    <w:rsid w:val="00B967B0"/>
    <w:rsid w:val="00BA026B"/>
    <w:rsid w:val="00BA16C9"/>
    <w:rsid w:val="00BA2DDE"/>
    <w:rsid w:val="00BB5FA7"/>
    <w:rsid w:val="00BC0E61"/>
    <w:rsid w:val="00BC2446"/>
    <w:rsid w:val="00BC2F73"/>
    <w:rsid w:val="00BD2542"/>
    <w:rsid w:val="00BD4211"/>
    <w:rsid w:val="00BD6C03"/>
    <w:rsid w:val="00BE1321"/>
    <w:rsid w:val="00BE4BF0"/>
    <w:rsid w:val="00BE6C14"/>
    <w:rsid w:val="00BF5BC0"/>
    <w:rsid w:val="00BF71DB"/>
    <w:rsid w:val="00C03CC3"/>
    <w:rsid w:val="00C05048"/>
    <w:rsid w:val="00C05F18"/>
    <w:rsid w:val="00C07CFE"/>
    <w:rsid w:val="00C10324"/>
    <w:rsid w:val="00C10E4F"/>
    <w:rsid w:val="00C12095"/>
    <w:rsid w:val="00C129D7"/>
    <w:rsid w:val="00C22F96"/>
    <w:rsid w:val="00C24B70"/>
    <w:rsid w:val="00C31D81"/>
    <w:rsid w:val="00C33310"/>
    <w:rsid w:val="00C35138"/>
    <w:rsid w:val="00C35E8C"/>
    <w:rsid w:val="00C40588"/>
    <w:rsid w:val="00C42BF4"/>
    <w:rsid w:val="00C43857"/>
    <w:rsid w:val="00C45471"/>
    <w:rsid w:val="00C52401"/>
    <w:rsid w:val="00C5422D"/>
    <w:rsid w:val="00C57B93"/>
    <w:rsid w:val="00C62097"/>
    <w:rsid w:val="00C63584"/>
    <w:rsid w:val="00C64A86"/>
    <w:rsid w:val="00C7067E"/>
    <w:rsid w:val="00C71044"/>
    <w:rsid w:val="00C76D0F"/>
    <w:rsid w:val="00C76EF3"/>
    <w:rsid w:val="00C8022D"/>
    <w:rsid w:val="00C901E6"/>
    <w:rsid w:val="00C9056F"/>
    <w:rsid w:val="00C90B36"/>
    <w:rsid w:val="00C91204"/>
    <w:rsid w:val="00C92D67"/>
    <w:rsid w:val="00C95CA1"/>
    <w:rsid w:val="00C9690C"/>
    <w:rsid w:val="00CA21C3"/>
    <w:rsid w:val="00CA2CCE"/>
    <w:rsid w:val="00CA7BEF"/>
    <w:rsid w:val="00CB6D0A"/>
    <w:rsid w:val="00CC5453"/>
    <w:rsid w:val="00CD3E33"/>
    <w:rsid w:val="00CD7093"/>
    <w:rsid w:val="00CD7F7E"/>
    <w:rsid w:val="00CE53F3"/>
    <w:rsid w:val="00CE590F"/>
    <w:rsid w:val="00CE6931"/>
    <w:rsid w:val="00CE7144"/>
    <w:rsid w:val="00CF253C"/>
    <w:rsid w:val="00CF343A"/>
    <w:rsid w:val="00CF5205"/>
    <w:rsid w:val="00D00434"/>
    <w:rsid w:val="00D017B6"/>
    <w:rsid w:val="00D02193"/>
    <w:rsid w:val="00D04CAB"/>
    <w:rsid w:val="00D062C2"/>
    <w:rsid w:val="00D107D4"/>
    <w:rsid w:val="00D15167"/>
    <w:rsid w:val="00D3040F"/>
    <w:rsid w:val="00D31F2D"/>
    <w:rsid w:val="00D328CF"/>
    <w:rsid w:val="00D33E5C"/>
    <w:rsid w:val="00D40397"/>
    <w:rsid w:val="00D418A8"/>
    <w:rsid w:val="00D52B3B"/>
    <w:rsid w:val="00D55DD5"/>
    <w:rsid w:val="00D575AB"/>
    <w:rsid w:val="00D624C0"/>
    <w:rsid w:val="00D7092B"/>
    <w:rsid w:val="00D71541"/>
    <w:rsid w:val="00D75100"/>
    <w:rsid w:val="00D77D02"/>
    <w:rsid w:val="00D8196C"/>
    <w:rsid w:val="00D82034"/>
    <w:rsid w:val="00D82268"/>
    <w:rsid w:val="00D828B9"/>
    <w:rsid w:val="00D908F2"/>
    <w:rsid w:val="00D95705"/>
    <w:rsid w:val="00D97F74"/>
    <w:rsid w:val="00DA4B64"/>
    <w:rsid w:val="00DA4B73"/>
    <w:rsid w:val="00DB06F3"/>
    <w:rsid w:val="00DB1301"/>
    <w:rsid w:val="00DB1A27"/>
    <w:rsid w:val="00DB22D1"/>
    <w:rsid w:val="00DB5FB1"/>
    <w:rsid w:val="00DB69F9"/>
    <w:rsid w:val="00DB7737"/>
    <w:rsid w:val="00DC519F"/>
    <w:rsid w:val="00DD07E4"/>
    <w:rsid w:val="00DD2EF6"/>
    <w:rsid w:val="00DD6FC9"/>
    <w:rsid w:val="00DE20FE"/>
    <w:rsid w:val="00DE4B56"/>
    <w:rsid w:val="00DE6524"/>
    <w:rsid w:val="00DF202F"/>
    <w:rsid w:val="00DF2CEA"/>
    <w:rsid w:val="00E0379F"/>
    <w:rsid w:val="00E042E8"/>
    <w:rsid w:val="00E04982"/>
    <w:rsid w:val="00E06606"/>
    <w:rsid w:val="00E06F7C"/>
    <w:rsid w:val="00E2188B"/>
    <w:rsid w:val="00E22436"/>
    <w:rsid w:val="00E241BF"/>
    <w:rsid w:val="00E24AEE"/>
    <w:rsid w:val="00E4115D"/>
    <w:rsid w:val="00E41521"/>
    <w:rsid w:val="00E41DCB"/>
    <w:rsid w:val="00E43410"/>
    <w:rsid w:val="00E44C4F"/>
    <w:rsid w:val="00E44C92"/>
    <w:rsid w:val="00E45E7D"/>
    <w:rsid w:val="00E46434"/>
    <w:rsid w:val="00E47FCB"/>
    <w:rsid w:val="00E50DBE"/>
    <w:rsid w:val="00E51CA6"/>
    <w:rsid w:val="00E52695"/>
    <w:rsid w:val="00E52C5A"/>
    <w:rsid w:val="00E560E6"/>
    <w:rsid w:val="00E57D7B"/>
    <w:rsid w:val="00E61B9D"/>
    <w:rsid w:val="00E678D1"/>
    <w:rsid w:val="00E70696"/>
    <w:rsid w:val="00E7070A"/>
    <w:rsid w:val="00E709F0"/>
    <w:rsid w:val="00E74798"/>
    <w:rsid w:val="00E74DC5"/>
    <w:rsid w:val="00E77A06"/>
    <w:rsid w:val="00E86A55"/>
    <w:rsid w:val="00E86F41"/>
    <w:rsid w:val="00E921B1"/>
    <w:rsid w:val="00E94168"/>
    <w:rsid w:val="00E9431D"/>
    <w:rsid w:val="00EA1FB8"/>
    <w:rsid w:val="00EA2725"/>
    <w:rsid w:val="00EA620E"/>
    <w:rsid w:val="00EA7877"/>
    <w:rsid w:val="00EB60C9"/>
    <w:rsid w:val="00EC58D9"/>
    <w:rsid w:val="00EC776C"/>
    <w:rsid w:val="00ED1D84"/>
    <w:rsid w:val="00ED2074"/>
    <w:rsid w:val="00ED2721"/>
    <w:rsid w:val="00ED545D"/>
    <w:rsid w:val="00ED7376"/>
    <w:rsid w:val="00EE6AC1"/>
    <w:rsid w:val="00EF7663"/>
    <w:rsid w:val="00F02145"/>
    <w:rsid w:val="00F157A9"/>
    <w:rsid w:val="00F1592F"/>
    <w:rsid w:val="00F15A52"/>
    <w:rsid w:val="00F17636"/>
    <w:rsid w:val="00F21AA7"/>
    <w:rsid w:val="00F304AB"/>
    <w:rsid w:val="00F30B1E"/>
    <w:rsid w:val="00F3121D"/>
    <w:rsid w:val="00F423AD"/>
    <w:rsid w:val="00F47BC4"/>
    <w:rsid w:val="00F500E3"/>
    <w:rsid w:val="00F51853"/>
    <w:rsid w:val="00F51B7E"/>
    <w:rsid w:val="00F55D92"/>
    <w:rsid w:val="00F5615F"/>
    <w:rsid w:val="00F6077B"/>
    <w:rsid w:val="00F70176"/>
    <w:rsid w:val="00F74B22"/>
    <w:rsid w:val="00F922A2"/>
    <w:rsid w:val="00F922DF"/>
    <w:rsid w:val="00F92446"/>
    <w:rsid w:val="00F93E4F"/>
    <w:rsid w:val="00FA44F1"/>
    <w:rsid w:val="00FA5498"/>
    <w:rsid w:val="00FA5B5D"/>
    <w:rsid w:val="00FA7D49"/>
    <w:rsid w:val="00FB0A06"/>
    <w:rsid w:val="00FB12DE"/>
    <w:rsid w:val="00FB168A"/>
    <w:rsid w:val="00FB6C9A"/>
    <w:rsid w:val="00FB7842"/>
    <w:rsid w:val="00FC074F"/>
    <w:rsid w:val="00FC2367"/>
    <w:rsid w:val="00FC7BAB"/>
    <w:rsid w:val="00FD2DA8"/>
    <w:rsid w:val="00FF5801"/>
    <w:rsid w:val="00FF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B5"/>
    <w:rPr>
      <w:rFonts w:ascii="Times New Roman" w:hAnsi="Times New Roman"/>
      <w:sz w:val="24"/>
      <w:szCs w:val="24"/>
    </w:rPr>
  </w:style>
  <w:style w:type="paragraph" w:styleId="Heading1">
    <w:name w:val="heading 1"/>
    <w:basedOn w:val="Normal"/>
    <w:link w:val="Heading1Char"/>
    <w:uiPriority w:val="9"/>
    <w:qFormat/>
    <w:rsid w:val="000C0AC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7B5"/>
    <w:rPr>
      <w:color w:val="0000FF"/>
      <w:u w:val="single"/>
    </w:rPr>
  </w:style>
  <w:style w:type="paragraph" w:customStyle="1" w:styleId="NormalLatinGaramond">
    <w:name w:val="Normal + (Latin) Garamond"/>
    <w:aliases w:val="(Complex) Arial,(Complex) Bold,(Complex) Italic,..."/>
    <w:basedOn w:val="Normal"/>
    <w:rsid w:val="007757B5"/>
    <w:pPr>
      <w:numPr>
        <w:numId w:val="1"/>
      </w:numPr>
      <w:jc w:val="both"/>
    </w:pPr>
    <w:rPr>
      <w:rFonts w:ascii="Garamond" w:hAnsi="Garamond"/>
    </w:rPr>
  </w:style>
  <w:style w:type="paragraph" w:styleId="BalloonText">
    <w:name w:val="Balloon Text"/>
    <w:basedOn w:val="Normal"/>
    <w:link w:val="BalloonTextChar"/>
    <w:uiPriority w:val="99"/>
    <w:semiHidden/>
    <w:unhideWhenUsed/>
    <w:rsid w:val="007757B5"/>
    <w:rPr>
      <w:rFonts w:ascii="Tahoma" w:hAnsi="Tahoma"/>
      <w:sz w:val="16"/>
      <w:szCs w:val="20"/>
      <w:lang w:val="x-none" w:eastAsia="x-none"/>
    </w:rPr>
  </w:style>
  <w:style w:type="character" w:customStyle="1" w:styleId="BalloonTextChar">
    <w:name w:val="Balloon Text Char"/>
    <w:link w:val="BalloonText"/>
    <w:uiPriority w:val="99"/>
    <w:semiHidden/>
    <w:locked/>
    <w:rsid w:val="007757B5"/>
    <w:rPr>
      <w:rFonts w:ascii="Tahoma" w:hAnsi="Tahoma"/>
      <w:sz w:val="16"/>
    </w:rPr>
  </w:style>
  <w:style w:type="paragraph" w:styleId="ColorfulList-Accent1">
    <w:name w:val="Colorful List Accent 1"/>
    <w:basedOn w:val="Normal"/>
    <w:uiPriority w:val="34"/>
    <w:qFormat/>
    <w:rsid w:val="008C75BF"/>
    <w:pPr>
      <w:ind w:left="720"/>
      <w:contextualSpacing/>
    </w:pPr>
  </w:style>
  <w:style w:type="paragraph" w:styleId="BodyText">
    <w:name w:val="Body Text"/>
    <w:basedOn w:val="Normal"/>
    <w:link w:val="BodyTextChar"/>
    <w:uiPriority w:val="99"/>
    <w:rsid w:val="00864A99"/>
    <w:pPr>
      <w:spacing w:after="120" w:line="276" w:lineRule="auto"/>
    </w:pPr>
    <w:rPr>
      <w:lang w:val="x-none" w:eastAsia="x-none"/>
    </w:rPr>
  </w:style>
  <w:style w:type="character" w:customStyle="1" w:styleId="BodyTextChar">
    <w:name w:val="Body Text Char"/>
    <w:link w:val="BodyText"/>
    <w:uiPriority w:val="99"/>
    <w:semiHidden/>
    <w:rsid w:val="00677729"/>
    <w:rPr>
      <w:rFonts w:ascii="Times New Roman" w:hAnsi="Times New Roman"/>
      <w:sz w:val="24"/>
      <w:szCs w:val="24"/>
    </w:rPr>
  </w:style>
  <w:style w:type="paragraph" w:styleId="Header">
    <w:name w:val="header"/>
    <w:basedOn w:val="Normal"/>
    <w:link w:val="HeaderChar"/>
    <w:uiPriority w:val="99"/>
    <w:unhideWhenUsed/>
    <w:rsid w:val="003F7DE2"/>
    <w:pPr>
      <w:tabs>
        <w:tab w:val="center" w:pos="4680"/>
        <w:tab w:val="right" w:pos="9360"/>
      </w:tabs>
    </w:pPr>
    <w:rPr>
      <w:szCs w:val="20"/>
      <w:lang w:val="x-none" w:eastAsia="x-none"/>
    </w:rPr>
  </w:style>
  <w:style w:type="character" w:customStyle="1" w:styleId="HeaderChar">
    <w:name w:val="Header Char"/>
    <w:link w:val="Header"/>
    <w:uiPriority w:val="99"/>
    <w:locked/>
    <w:rsid w:val="003F7DE2"/>
    <w:rPr>
      <w:rFonts w:ascii="Times New Roman" w:hAnsi="Times New Roman"/>
      <w:sz w:val="24"/>
    </w:rPr>
  </w:style>
  <w:style w:type="paragraph" w:styleId="Footer">
    <w:name w:val="footer"/>
    <w:basedOn w:val="Normal"/>
    <w:link w:val="FooterChar"/>
    <w:uiPriority w:val="99"/>
    <w:unhideWhenUsed/>
    <w:rsid w:val="003F7DE2"/>
    <w:pPr>
      <w:tabs>
        <w:tab w:val="center" w:pos="4680"/>
        <w:tab w:val="right" w:pos="9360"/>
      </w:tabs>
    </w:pPr>
    <w:rPr>
      <w:szCs w:val="20"/>
      <w:lang w:val="x-none" w:eastAsia="x-none"/>
    </w:rPr>
  </w:style>
  <w:style w:type="character" w:customStyle="1" w:styleId="FooterChar">
    <w:name w:val="Footer Char"/>
    <w:link w:val="Footer"/>
    <w:uiPriority w:val="99"/>
    <w:locked/>
    <w:rsid w:val="003F7DE2"/>
    <w:rPr>
      <w:rFonts w:ascii="Times New Roman" w:hAnsi="Times New Roman"/>
      <w:sz w:val="24"/>
    </w:rPr>
  </w:style>
  <w:style w:type="paragraph" w:styleId="MediumGrid2">
    <w:name w:val="Medium Grid 2"/>
    <w:uiPriority w:val="1"/>
    <w:qFormat/>
    <w:rsid w:val="00BD2542"/>
    <w:rPr>
      <w:rFonts w:ascii="Times New Roman" w:hAnsi="Times New Roman"/>
      <w:sz w:val="24"/>
      <w:szCs w:val="24"/>
    </w:rPr>
  </w:style>
  <w:style w:type="paragraph" w:styleId="FootnoteText">
    <w:name w:val="footnote text"/>
    <w:basedOn w:val="Normal"/>
    <w:link w:val="FootnoteTextChar"/>
    <w:unhideWhenUsed/>
    <w:rsid w:val="00023802"/>
    <w:rPr>
      <w:sz w:val="20"/>
      <w:szCs w:val="20"/>
      <w:lang w:val="x-none" w:eastAsia="x-none"/>
    </w:rPr>
  </w:style>
  <w:style w:type="character" w:customStyle="1" w:styleId="FootnoteTextChar">
    <w:name w:val="Footnote Text Char"/>
    <w:link w:val="FootnoteText"/>
    <w:rsid w:val="00023802"/>
    <w:rPr>
      <w:rFonts w:ascii="Times New Roman" w:hAnsi="Times New Roman"/>
    </w:rPr>
  </w:style>
  <w:style w:type="character" w:styleId="FootnoteReference">
    <w:name w:val="footnote reference"/>
    <w:unhideWhenUsed/>
    <w:qFormat/>
    <w:rsid w:val="00023802"/>
    <w:rPr>
      <w:vertAlign w:val="superscript"/>
    </w:rPr>
  </w:style>
  <w:style w:type="character" w:styleId="CommentReference">
    <w:name w:val="annotation reference"/>
    <w:uiPriority w:val="99"/>
    <w:semiHidden/>
    <w:unhideWhenUsed/>
    <w:rsid w:val="00855755"/>
    <w:rPr>
      <w:sz w:val="16"/>
      <w:szCs w:val="16"/>
    </w:rPr>
  </w:style>
  <w:style w:type="paragraph" w:styleId="CommentText">
    <w:name w:val="annotation text"/>
    <w:basedOn w:val="Normal"/>
    <w:link w:val="CommentTextChar"/>
    <w:uiPriority w:val="99"/>
    <w:unhideWhenUsed/>
    <w:rsid w:val="00855755"/>
    <w:rPr>
      <w:sz w:val="20"/>
      <w:szCs w:val="20"/>
      <w:lang w:val="x-none" w:eastAsia="x-none"/>
    </w:rPr>
  </w:style>
  <w:style w:type="character" w:customStyle="1" w:styleId="CommentTextChar">
    <w:name w:val="Comment Text Char"/>
    <w:link w:val="CommentText"/>
    <w:uiPriority w:val="99"/>
    <w:rsid w:val="0085575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55755"/>
    <w:rPr>
      <w:b/>
      <w:bCs/>
    </w:rPr>
  </w:style>
  <w:style w:type="character" w:customStyle="1" w:styleId="CommentSubjectChar">
    <w:name w:val="Comment Subject Char"/>
    <w:link w:val="CommentSubject"/>
    <w:uiPriority w:val="99"/>
    <w:semiHidden/>
    <w:rsid w:val="00855755"/>
    <w:rPr>
      <w:rFonts w:ascii="Times New Roman" w:hAnsi="Times New Roman"/>
      <w:b/>
      <w:bCs/>
    </w:rPr>
  </w:style>
  <w:style w:type="paragraph" w:styleId="EndnoteText">
    <w:name w:val="endnote text"/>
    <w:basedOn w:val="Normal"/>
    <w:link w:val="EndnoteTextChar"/>
    <w:uiPriority w:val="99"/>
    <w:unhideWhenUsed/>
    <w:rsid w:val="006F78B9"/>
    <w:rPr>
      <w:sz w:val="20"/>
      <w:szCs w:val="20"/>
    </w:rPr>
  </w:style>
  <w:style w:type="character" w:customStyle="1" w:styleId="EndnoteTextChar">
    <w:name w:val="Endnote Text Char"/>
    <w:link w:val="EndnoteText"/>
    <w:uiPriority w:val="99"/>
    <w:rsid w:val="006F78B9"/>
    <w:rPr>
      <w:rFonts w:ascii="Times New Roman" w:hAnsi="Times New Roman"/>
    </w:rPr>
  </w:style>
  <w:style w:type="character" w:styleId="EndnoteReference">
    <w:name w:val="endnote reference"/>
    <w:uiPriority w:val="99"/>
    <w:unhideWhenUsed/>
    <w:rsid w:val="006F78B9"/>
    <w:rPr>
      <w:vertAlign w:val="superscript"/>
    </w:rPr>
  </w:style>
  <w:style w:type="character" w:styleId="FollowedHyperlink">
    <w:name w:val="FollowedHyperlink"/>
    <w:uiPriority w:val="99"/>
    <w:semiHidden/>
    <w:unhideWhenUsed/>
    <w:rsid w:val="00C901E6"/>
    <w:rPr>
      <w:color w:val="800080"/>
      <w:u w:val="single"/>
    </w:rPr>
  </w:style>
  <w:style w:type="paragraph" w:styleId="ListParagraph">
    <w:name w:val="List Paragraph"/>
    <w:basedOn w:val="Normal"/>
    <w:uiPriority w:val="34"/>
    <w:qFormat/>
    <w:rsid w:val="00AB1436"/>
    <w:pPr>
      <w:ind w:left="720"/>
      <w:contextualSpacing/>
    </w:pPr>
    <w:rPr>
      <w:rFonts w:ascii="Calibri" w:eastAsia="Calibri" w:hAnsi="Calibri"/>
      <w:sz w:val="22"/>
      <w:szCs w:val="22"/>
    </w:rPr>
  </w:style>
  <w:style w:type="paragraph" w:styleId="PlainText">
    <w:name w:val="Plain Text"/>
    <w:basedOn w:val="Normal"/>
    <w:link w:val="PlainTextChar"/>
    <w:uiPriority w:val="99"/>
    <w:semiHidden/>
    <w:unhideWhenUsed/>
    <w:rsid w:val="00AB1436"/>
    <w:rPr>
      <w:rFonts w:ascii="Consolas" w:eastAsia="Calibri" w:hAnsi="Consolas" w:cs="Consolas"/>
      <w:sz w:val="21"/>
      <w:szCs w:val="21"/>
    </w:rPr>
  </w:style>
  <w:style w:type="character" w:customStyle="1" w:styleId="PlainTextChar">
    <w:name w:val="Plain Text Char"/>
    <w:link w:val="PlainText"/>
    <w:uiPriority w:val="99"/>
    <w:semiHidden/>
    <w:rsid w:val="00AB1436"/>
    <w:rPr>
      <w:rFonts w:ascii="Consolas" w:eastAsia="Calibri" w:hAnsi="Consolas" w:cs="Consolas"/>
      <w:sz w:val="21"/>
      <w:szCs w:val="21"/>
    </w:rPr>
  </w:style>
  <w:style w:type="paragraph" w:styleId="NormalWeb">
    <w:name w:val="Normal (Web)"/>
    <w:basedOn w:val="Normal"/>
    <w:uiPriority w:val="99"/>
    <w:semiHidden/>
    <w:unhideWhenUsed/>
    <w:rsid w:val="00754DD1"/>
    <w:pPr>
      <w:spacing w:before="100" w:beforeAutospacing="1" w:after="100" w:afterAutospacing="1"/>
    </w:pPr>
  </w:style>
  <w:style w:type="paragraph" w:styleId="NoSpacing">
    <w:name w:val="No Spacing"/>
    <w:link w:val="NoSpacingChar"/>
    <w:uiPriority w:val="1"/>
    <w:qFormat/>
    <w:rsid w:val="007F79BF"/>
    <w:rPr>
      <w:rFonts w:ascii="PMingLiU" w:eastAsia="MS Mincho" w:hAnsi="PMingLiU"/>
      <w:sz w:val="22"/>
      <w:szCs w:val="22"/>
    </w:rPr>
  </w:style>
  <w:style w:type="character" w:customStyle="1" w:styleId="NoSpacingChar">
    <w:name w:val="No Spacing Char"/>
    <w:link w:val="NoSpacing"/>
    <w:uiPriority w:val="1"/>
    <w:rsid w:val="007F79BF"/>
    <w:rPr>
      <w:rFonts w:ascii="PMingLiU" w:eastAsia="MS Mincho" w:hAnsi="PMingLiU"/>
      <w:sz w:val="22"/>
      <w:szCs w:val="22"/>
    </w:rPr>
  </w:style>
  <w:style w:type="character" w:customStyle="1" w:styleId="Heading1Char">
    <w:name w:val="Heading 1 Char"/>
    <w:link w:val="Heading1"/>
    <w:uiPriority w:val="9"/>
    <w:rsid w:val="000C0AC3"/>
    <w:rPr>
      <w:rFonts w:ascii="Times New Roman" w:hAnsi="Times New Roman"/>
      <w:b/>
      <w:bCs/>
      <w:kern w:val="36"/>
      <w:sz w:val="48"/>
      <w:szCs w:val="48"/>
    </w:rPr>
  </w:style>
  <w:style w:type="table" w:styleId="TableGrid">
    <w:name w:val="Table Grid"/>
    <w:basedOn w:val="TableNormal"/>
    <w:uiPriority w:val="39"/>
    <w:rsid w:val="00830CAD"/>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5DD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91777">
      <w:marLeft w:val="0"/>
      <w:marRight w:val="0"/>
      <w:marTop w:val="0"/>
      <w:marBottom w:val="0"/>
      <w:divBdr>
        <w:top w:val="none" w:sz="0" w:space="0" w:color="auto"/>
        <w:left w:val="none" w:sz="0" w:space="0" w:color="auto"/>
        <w:bottom w:val="none" w:sz="0" w:space="0" w:color="auto"/>
        <w:right w:val="none" w:sz="0" w:space="0" w:color="auto"/>
      </w:divBdr>
      <w:divsChild>
        <w:div w:id="905191783">
          <w:marLeft w:val="0"/>
          <w:marRight w:val="0"/>
          <w:marTop w:val="0"/>
          <w:marBottom w:val="0"/>
          <w:divBdr>
            <w:top w:val="none" w:sz="0" w:space="0" w:color="auto"/>
            <w:left w:val="none" w:sz="0" w:space="0" w:color="auto"/>
            <w:bottom w:val="none" w:sz="0" w:space="0" w:color="auto"/>
            <w:right w:val="none" w:sz="0" w:space="0" w:color="auto"/>
          </w:divBdr>
          <w:divsChild>
            <w:div w:id="905191779">
              <w:marLeft w:val="0"/>
              <w:marRight w:val="0"/>
              <w:marTop w:val="0"/>
              <w:marBottom w:val="0"/>
              <w:divBdr>
                <w:top w:val="none" w:sz="0" w:space="0" w:color="auto"/>
                <w:left w:val="none" w:sz="0" w:space="0" w:color="auto"/>
                <w:bottom w:val="none" w:sz="0" w:space="0" w:color="auto"/>
                <w:right w:val="none" w:sz="0" w:space="0" w:color="auto"/>
              </w:divBdr>
            </w:div>
            <w:div w:id="905191782">
              <w:marLeft w:val="0"/>
              <w:marRight w:val="0"/>
              <w:marTop w:val="0"/>
              <w:marBottom w:val="0"/>
              <w:divBdr>
                <w:top w:val="none" w:sz="0" w:space="0" w:color="auto"/>
                <w:left w:val="none" w:sz="0" w:space="0" w:color="auto"/>
                <w:bottom w:val="none" w:sz="0" w:space="0" w:color="auto"/>
                <w:right w:val="none" w:sz="0" w:space="0" w:color="auto"/>
              </w:divBdr>
            </w:div>
            <w:div w:id="905191784">
              <w:marLeft w:val="0"/>
              <w:marRight w:val="0"/>
              <w:marTop w:val="0"/>
              <w:marBottom w:val="0"/>
              <w:divBdr>
                <w:top w:val="none" w:sz="0" w:space="0" w:color="auto"/>
                <w:left w:val="none" w:sz="0" w:space="0" w:color="auto"/>
                <w:bottom w:val="none" w:sz="0" w:space="0" w:color="auto"/>
                <w:right w:val="none" w:sz="0" w:space="0" w:color="auto"/>
              </w:divBdr>
            </w:div>
            <w:div w:id="9051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91780">
      <w:marLeft w:val="0"/>
      <w:marRight w:val="0"/>
      <w:marTop w:val="0"/>
      <w:marBottom w:val="0"/>
      <w:divBdr>
        <w:top w:val="none" w:sz="0" w:space="0" w:color="auto"/>
        <w:left w:val="none" w:sz="0" w:space="0" w:color="auto"/>
        <w:bottom w:val="none" w:sz="0" w:space="0" w:color="auto"/>
        <w:right w:val="none" w:sz="0" w:space="0" w:color="auto"/>
      </w:divBdr>
      <w:divsChild>
        <w:div w:id="905191787">
          <w:marLeft w:val="0"/>
          <w:marRight w:val="0"/>
          <w:marTop w:val="0"/>
          <w:marBottom w:val="0"/>
          <w:divBdr>
            <w:top w:val="none" w:sz="0" w:space="0" w:color="auto"/>
            <w:left w:val="none" w:sz="0" w:space="0" w:color="auto"/>
            <w:bottom w:val="none" w:sz="0" w:space="0" w:color="auto"/>
            <w:right w:val="none" w:sz="0" w:space="0" w:color="auto"/>
          </w:divBdr>
          <w:divsChild>
            <w:div w:id="905191778">
              <w:marLeft w:val="0"/>
              <w:marRight w:val="0"/>
              <w:marTop w:val="0"/>
              <w:marBottom w:val="0"/>
              <w:divBdr>
                <w:top w:val="none" w:sz="0" w:space="0" w:color="auto"/>
                <w:left w:val="none" w:sz="0" w:space="0" w:color="auto"/>
                <w:bottom w:val="none" w:sz="0" w:space="0" w:color="auto"/>
                <w:right w:val="none" w:sz="0" w:space="0" w:color="auto"/>
              </w:divBdr>
            </w:div>
            <w:div w:id="905191781">
              <w:marLeft w:val="0"/>
              <w:marRight w:val="0"/>
              <w:marTop w:val="0"/>
              <w:marBottom w:val="0"/>
              <w:divBdr>
                <w:top w:val="none" w:sz="0" w:space="0" w:color="auto"/>
                <w:left w:val="none" w:sz="0" w:space="0" w:color="auto"/>
                <w:bottom w:val="none" w:sz="0" w:space="0" w:color="auto"/>
                <w:right w:val="none" w:sz="0" w:space="0" w:color="auto"/>
              </w:divBdr>
            </w:div>
            <w:div w:id="9051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58376">
      <w:bodyDiv w:val="1"/>
      <w:marLeft w:val="0"/>
      <w:marRight w:val="0"/>
      <w:marTop w:val="0"/>
      <w:marBottom w:val="0"/>
      <w:divBdr>
        <w:top w:val="none" w:sz="0" w:space="0" w:color="auto"/>
        <w:left w:val="none" w:sz="0" w:space="0" w:color="auto"/>
        <w:bottom w:val="none" w:sz="0" w:space="0" w:color="auto"/>
        <w:right w:val="none" w:sz="0" w:space="0" w:color="auto"/>
      </w:divBdr>
    </w:div>
    <w:div w:id="1065448590">
      <w:bodyDiv w:val="1"/>
      <w:marLeft w:val="0"/>
      <w:marRight w:val="0"/>
      <w:marTop w:val="0"/>
      <w:marBottom w:val="0"/>
      <w:divBdr>
        <w:top w:val="none" w:sz="0" w:space="0" w:color="auto"/>
        <w:left w:val="none" w:sz="0" w:space="0" w:color="auto"/>
        <w:bottom w:val="none" w:sz="0" w:space="0" w:color="auto"/>
        <w:right w:val="none" w:sz="0" w:space="0" w:color="auto"/>
      </w:divBdr>
    </w:div>
    <w:div w:id="1507860515">
      <w:bodyDiv w:val="1"/>
      <w:marLeft w:val="0"/>
      <w:marRight w:val="0"/>
      <w:marTop w:val="0"/>
      <w:marBottom w:val="0"/>
      <w:divBdr>
        <w:top w:val="none" w:sz="0" w:space="0" w:color="auto"/>
        <w:left w:val="none" w:sz="0" w:space="0" w:color="auto"/>
        <w:bottom w:val="none" w:sz="0" w:space="0" w:color="auto"/>
        <w:right w:val="none" w:sz="0" w:space="0" w:color="auto"/>
      </w:divBdr>
    </w:div>
    <w:div w:id="1837453550">
      <w:bodyDiv w:val="1"/>
      <w:marLeft w:val="0"/>
      <w:marRight w:val="0"/>
      <w:marTop w:val="0"/>
      <w:marBottom w:val="0"/>
      <w:divBdr>
        <w:top w:val="none" w:sz="0" w:space="0" w:color="auto"/>
        <w:left w:val="none" w:sz="0" w:space="0" w:color="auto"/>
        <w:bottom w:val="none" w:sz="0" w:space="0" w:color="auto"/>
        <w:right w:val="none" w:sz="0" w:space="0" w:color="auto"/>
      </w:divBdr>
    </w:div>
    <w:div w:id="1927955967">
      <w:bodyDiv w:val="1"/>
      <w:marLeft w:val="0"/>
      <w:marRight w:val="0"/>
      <w:marTop w:val="0"/>
      <w:marBottom w:val="0"/>
      <w:divBdr>
        <w:top w:val="none" w:sz="0" w:space="0" w:color="auto"/>
        <w:left w:val="none" w:sz="0" w:space="0" w:color="auto"/>
        <w:bottom w:val="none" w:sz="0" w:space="0" w:color="auto"/>
        <w:right w:val="none" w:sz="0" w:space="0" w:color="auto"/>
      </w:divBdr>
    </w:div>
    <w:div w:id="211455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FR-2016-04-25/pdf/2016-09397.pdf" TargetMode="External"/><Relationship Id="rId13" Type="http://schemas.openxmlformats.org/officeDocument/2006/relationships/hyperlink" Target="mailto:Kim.Calder@nms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Bennewith@unitedspinal.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tein@medicareadvocacy.org" TargetMode="External"/><Relationship Id="rId5" Type="http://schemas.openxmlformats.org/officeDocument/2006/relationships/webSettings" Target="webSettings.xml"/><Relationship Id="rId15" Type="http://schemas.openxmlformats.org/officeDocument/2006/relationships/hyperlink" Target="mailto:fallingforwardfoundation@gmail.com" TargetMode="External"/><Relationship Id="rId23" Type="http://schemas.openxmlformats.org/officeDocument/2006/relationships/theme" Target="theme/theme1.xml"/><Relationship Id="rId10" Type="http://schemas.openxmlformats.org/officeDocument/2006/relationships/hyperlink" Target="mailto:steven.postal@ppsv.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eter.thomas@ppsv.com" TargetMode="External"/><Relationship Id="rId14" Type="http://schemas.openxmlformats.org/officeDocument/2006/relationships/hyperlink" Target="mailto:AColberg@biausa.org"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A2594-D705-4EF3-8AC2-18DC87B6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3118</Words>
  <Characters>17779</Characters>
  <Application>Microsoft Office Word</Application>
  <DocSecurity>0</DocSecurity>
  <PresentationFormat>11|.DOC</PresentationFormat>
  <Lines>148</Lines>
  <Paragraphs>41</Paragraphs>
  <ScaleCrop>false</ScaleCrop>
  <HeadingPairs>
    <vt:vector size="2" baseType="variant">
      <vt:variant>
        <vt:lpstr>Title</vt:lpstr>
      </vt:variant>
      <vt:variant>
        <vt:i4>1</vt:i4>
      </vt:variant>
    </vt:vector>
  </HeadingPairs>
  <TitlesOfParts>
    <vt:vector size="1" baseType="lpstr">
      <vt:lpstr>CPR CMS Letter IRF FY 2017 Proposed Rule (D0664340-3).DOC</vt:lpstr>
    </vt:vector>
  </TitlesOfParts>
  <Company>United Spinal Association</Company>
  <LinksUpToDate>false</LinksUpToDate>
  <CharactersWithSpaces>20856</CharactersWithSpaces>
  <SharedDoc>false</SharedDoc>
  <HLinks>
    <vt:vector size="54" baseType="variant">
      <vt:variant>
        <vt:i4>6619222</vt:i4>
      </vt:variant>
      <vt:variant>
        <vt:i4>24</vt:i4>
      </vt:variant>
      <vt:variant>
        <vt:i4>0</vt:i4>
      </vt:variant>
      <vt:variant>
        <vt:i4>5</vt:i4>
      </vt:variant>
      <vt:variant>
        <vt:lpwstr>mailto:fallingforwardfoundation@gmail.com</vt:lpwstr>
      </vt:variant>
      <vt:variant>
        <vt:lpwstr/>
      </vt:variant>
      <vt:variant>
        <vt:i4>4325486</vt:i4>
      </vt:variant>
      <vt:variant>
        <vt:i4>21</vt:i4>
      </vt:variant>
      <vt:variant>
        <vt:i4>0</vt:i4>
      </vt:variant>
      <vt:variant>
        <vt:i4>5</vt:i4>
      </vt:variant>
      <vt:variant>
        <vt:lpwstr>mailto:rpatterson@ChristopherReeve.org</vt:lpwstr>
      </vt:variant>
      <vt:variant>
        <vt:lpwstr/>
      </vt:variant>
      <vt:variant>
        <vt:i4>4784235</vt:i4>
      </vt:variant>
      <vt:variant>
        <vt:i4>18</vt:i4>
      </vt:variant>
      <vt:variant>
        <vt:i4>0</vt:i4>
      </vt:variant>
      <vt:variant>
        <vt:i4>5</vt:i4>
      </vt:variant>
      <vt:variant>
        <vt:lpwstr>mailto:AColberg@biausa.org</vt:lpwstr>
      </vt:variant>
      <vt:variant>
        <vt:lpwstr/>
      </vt:variant>
      <vt:variant>
        <vt:i4>5767227</vt:i4>
      </vt:variant>
      <vt:variant>
        <vt:i4>15</vt:i4>
      </vt:variant>
      <vt:variant>
        <vt:i4>0</vt:i4>
      </vt:variant>
      <vt:variant>
        <vt:i4>5</vt:i4>
      </vt:variant>
      <vt:variant>
        <vt:lpwstr>mailto:Kim.Calder@nmss.org</vt:lpwstr>
      </vt:variant>
      <vt:variant>
        <vt:lpwstr/>
      </vt:variant>
      <vt:variant>
        <vt:i4>5177468</vt:i4>
      </vt:variant>
      <vt:variant>
        <vt:i4>12</vt:i4>
      </vt:variant>
      <vt:variant>
        <vt:i4>0</vt:i4>
      </vt:variant>
      <vt:variant>
        <vt:i4>5</vt:i4>
      </vt:variant>
      <vt:variant>
        <vt:lpwstr>mailto:ABennewith@unitedspinal.org</vt:lpwstr>
      </vt:variant>
      <vt:variant>
        <vt:lpwstr/>
      </vt:variant>
      <vt:variant>
        <vt:i4>4587617</vt:i4>
      </vt:variant>
      <vt:variant>
        <vt:i4>9</vt:i4>
      </vt:variant>
      <vt:variant>
        <vt:i4>0</vt:i4>
      </vt:variant>
      <vt:variant>
        <vt:i4>5</vt:i4>
      </vt:variant>
      <vt:variant>
        <vt:lpwstr>mailto:JStein@medicareadvocacy.org</vt:lpwstr>
      </vt:variant>
      <vt:variant>
        <vt:lpwstr/>
      </vt:variant>
      <vt:variant>
        <vt:i4>655457</vt:i4>
      </vt:variant>
      <vt:variant>
        <vt:i4>6</vt:i4>
      </vt:variant>
      <vt:variant>
        <vt:i4>0</vt:i4>
      </vt:variant>
      <vt:variant>
        <vt:i4>5</vt:i4>
      </vt:variant>
      <vt:variant>
        <vt:lpwstr>mailto:steven.postal@ppsv.com</vt:lpwstr>
      </vt:variant>
      <vt:variant>
        <vt:lpwstr/>
      </vt:variant>
      <vt:variant>
        <vt:i4>2490448</vt:i4>
      </vt:variant>
      <vt:variant>
        <vt:i4>3</vt:i4>
      </vt:variant>
      <vt:variant>
        <vt:i4>0</vt:i4>
      </vt:variant>
      <vt:variant>
        <vt:i4>5</vt:i4>
      </vt:variant>
      <vt:variant>
        <vt:lpwstr>mailto:peter.thomas@ppsv.com</vt:lpwstr>
      </vt:variant>
      <vt:variant>
        <vt:lpwstr/>
      </vt:variant>
      <vt:variant>
        <vt:i4>3801151</vt:i4>
      </vt:variant>
      <vt:variant>
        <vt:i4>0</vt:i4>
      </vt:variant>
      <vt:variant>
        <vt:i4>0</vt:i4>
      </vt:variant>
      <vt:variant>
        <vt:i4>5</vt:i4>
      </vt:variant>
      <vt:variant>
        <vt:lpwstr>https://www.gpo.gov/fdsys/pkg/FR-2016-04-25/pdf/2016-09397.pdf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 CMS Letter IRF FY 2017 Proposed Rule (D0664340-3).DOC</dc:title>
  <dc:subject>wdNOSTAMP</dc:subject>
  <dc:creator>JIsaacs</dc:creator>
  <cp:lastModifiedBy>eleanor</cp:lastModifiedBy>
  <cp:revision>2</cp:revision>
  <cp:lastPrinted>2016-06-16T22:16:00Z</cp:lastPrinted>
  <dcterms:created xsi:type="dcterms:W3CDTF">2016-06-19T14:52:00Z</dcterms:created>
  <dcterms:modified xsi:type="dcterms:W3CDTF">2016-06-19T14:52:00Z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UFAA9qelww5tp418A6h+JWVT7VTlK3mr0IwJIR/ffhKI1iFbIwyMUqcUSvcT6mP6t0sGnDZVTx+qdvtZ_x000d_
WrbQw3WgyHkfxzdiGk2DTJdQSg3vwA44hVlRFLuMa333iECs0NMFfRn3VtdUo2lEQrsAoxfy0603_x000d_
Qak9kwx9PIqExJQm6F5RwYi3KZMkSlCQ0ntQTNZZHsiJpPcrOFm47vmfKKj3Ae9Y3F+TBedBk2Zt_x000d_
UlUVKcwUJX/31AMi+</vt:lpwstr>
  </property>
  <property fmtid="{D5CDD505-2E9C-101B-9397-08002B2CF9AE}" pid="3" name="RESPONSE_SENDER_NAME">
    <vt:lpwstr>sAAAE9kkUq3pEoJvDFcNPdWMnS4SK6KGN5wMbGclDQ4VItM=</vt:lpwstr>
  </property>
  <property fmtid="{D5CDD505-2E9C-101B-9397-08002B2CF9AE}" pid="4" name="EMAIL_OWNER_ADDRESS">
    <vt:lpwstr>4AAAUmLmXdMZevR6spV1Gh8j/BCvs3kouNxZEIKzNW0d0GUSWqk1j5Zu6w==</vt:lpwstr>
  </property>
  <property fmtid="{D5CDD505-2E9C-101B-9397-08002B2CF9AE}" pid="5" name="MAIL_MSG_ID2">
    <vt:lpwstr>6xg47ksqLrAJ3m+JdIZ03AaA8jxj9/HxviOI7W1IvcHX42kr+3F2MSZXCt9_x000d_
VnpP4MZEw5LWemRWwozySm0GnRs=</vt:lpwstr>
  </property>
  <property fmtid="{D5CDD505-2E9C-101B-9397-08002B2CF9AE}" pid="6" name="UserDate">
    <vt:lpwstr>08/19/2013 5:31:08 PM</vt:lpwstr>
  </property>
</Properties>
</file>